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auto"/>
        <w:ind w:leftChars="0"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我公司已认真阅读了贵校发布的河北水利电力学院</w:t>
      </w:r>
      <w:r>
        <w:rPr>
          <w:rFonts w:hint="eastAsia" w:asciiTheme="minorEastAsia" w:hAnsiTheme="minorEastAsia"/>
          <w:sz w:val="28"/>
          <w:szCs w:val="28"/>
          <w:lang w:val="zh-CN" w:eastAsia="zh-CN"/>
        </w:rPr>
        <w:t>河北水利电力学院校区窗户安装限位器项目</w:t>
      </w:r>
      <w:r>
        <w:rPr>
          <w:rFonts w:hint="eastAsia" w:asciiTheme="minorEastAsia" w:hAnsiTheme="minorEastAsia"/>
          <w:sz w:val="28"/>
          <w:szCs w:val="28"/>
        </w:rPr>
        <w:t>询价采购公告，接受贵校“询价公告”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提出的要求。严格按照贵校提供的要求进行服务，我公司自愿参与该项目投标报价。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注：1、完工日期：</w:t>
      </w:r>
      <w:r>
        <w:rPr>
          <w:rFonts w:hint="eastAsia" w:asciiTheme="minorEastAsia" w:hAnsiTheme="minorEastAsia"/>
          <w:sz w:val="28"/>
          <w:szCs w:val="28"/>
        </w:rPr>
        <w:t>自签订合同起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日内完成；</w:t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2、付款方式：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mMDIzMGU2MzI1NTY5MzI0NWZiNDUzMDcyMjVlODQifQ=="/>
  </w:docVars>
  <w:rsids>
    <w:rsidRoot w:val="00241223"/>
    <w:rsid w:val="000039DA"/>
    <w:rsid w:val="0003562E"/>
    <w:rsid w:val="00041588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82201"/>
    <w:rsid w:val="00304630"/>
    <w:rsid w:val="003328F4"/>
    <w:rsid w:val="004D7565"/>
    <w:rsid w:val="004D79E6"/>
    <w:rsid w:val="005C69E6"/>
    <w:rsid w:val="005D74D3"/>
    <w:rsid w:val="005E2024"/>
    <w:rsid w:val="005E7038"/>
    <w:rsid w:val="006228ED"/>
    <w:rsid w:val="006C1CA6"/>
    <w:rsid w:val="006E3F99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B090D"/>
    <w:rsid w:val="009C5FBB"/>
    <w:rsid w:val="00A15F30"/>
    <w:rsid w:val="00A21030"/>
    <w:rsid w:val="00B01BCF"/>
    <w:rsid w:val="00B45BDA"/>
    <w:rsid w:val="00C962E8"/>
    <w:rsid w:val="00CA70F4"/>
    <w:rsid w:val="00CB53E0"/>
    <w:rsid w:val="00D0533E"/>
    <w:rsid w:val="00D50334"/>
    <w:rsid w:val="00DB327F"/>
    <w:rsid w:val="00DC0AAC"/>
    <w:rsid w:val="00DE1196"/>
    <w:rsid w:val="00E02DC0"/>
    <w:rsid w:val="00E7712E"/>
    <w:rsid w:val="00EC19DB"/>
    <w:rsid w:val="00F030F7"/>
    <w:rsid w:val="00F31E0B"/>
    <w:rsid w:val="00F33C98"/>
    <w:rsid w:val="00F63486"/>
    <w:rsid w:val="00FF6BEB"/>
    <w:rsid w:val="569E3725"/>
    <w:rsid w:val="755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199</Characters>
  <Lines>2</Lines>
  <Paragraphs>1</Paragraphs>
  <TotalTime>2</TotalTime>
  <ScaleCrop>false</ScaleCrop>
  <LinksUpToDate>false</LinksUpToDate>
  <CharactersWithSpaces>256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2022-08-22T06:44:54Z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6017B2DD34184D61AB0403A0FB745F88</vt:lpwstr>
  </property>
</Properties>
</file>