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62" w:beforeLines="20" w:after="62" w:afterLines="20"/>
        <w:jc w:val="center"/>
        <w:rPr>
          <w:rFonts w:asciiTheme="minorEastAsia" w:hAnsiTheme="minorEastAsia"/>
          <w:b/>
          <w:sz w:val="32"/>
          <w:szCs w:val="32"/>
        </w:rPr>
      </w:pPr>
      <w:r>
        <w:rPr>
          <w:rFonts w:hint="eastAsia" w:asciiTheme="minorEastAsia" w:hAnsiTheme="minorEastAsia"/>
          <w:b/>
          <w:sz w:val="32"/>
          <w:szCs w:val="32"/>
        </w:rPr>
        <w:t>河北水利电力学院</w:t>
      </w:r>
    </w:p>
    <w:p>
      <w:pPr>
        <w:spacing w:before="62" w:beforeLines="20" w:after="62" w:afterLines="20"/>
        <w:jc w:val="center"/>
        <w:rPr>
          <w:rFonts w:asciiTheme="minorEastAsia" w:hAnsiTheme="minorEastAsia"/>
          <w:b/>
          <w:sz w:val="32"/>
          <w:szCs w:val="32"/>
        </w:rPr>
      </w:pPr>
      <w:r>
        <w:rPr>
          <w:rFonts w:hint="eastAsia"/>
          <w:b/>
          <w:sz w:val="32"/>
          <w:szCs w:val="32"/>
        </w:rPr>
        <w:t>电梯维保单位引入采购</w:t>
      </w:r>
      <w:r>
        <w:rPr>
          <w:rFonts w:hint="eastAsia" w:ascii="宋体" w:hAnsi="宋体"/>
          <w:b/>
          <w:sz w:val="32"/>
          <w:szCs w:val="32"/>
        </w:rPr>
        <w:t>项目</w:t>
      </w:r>
      <w:r>
        <w:rPr>
          <w:rFonts w:hint="eastAsia" w:asciiTheme="minorEastAsia" w:hAnsiTheme="minorEastAsia"/>
          <w:b/>
          <w:sz w:val="32"/>
          <w:szCs w:val="32"/>
        </w:rPr>
        <w:t>询价文件</w:t>
      </w:r>
    </w:p>
    <w:p>
      <w:pPr>
        <w:pStyle w:val="11"/>
        <w:numPr>
          <w:ilvl w:val="0"/>
          <w:numId w:val="1"/>
        </w:numPr>
        <w:spacing w:after="156" w:afterLines="50" w:line="480" w:lineRule="auto"/>
        <w:ind w:firstLineChars="0"/>
        <w:rPr>
          <w:rFonts w:asciiTheme="minorEastAsia" w:hAnsiTheme="minorEastAsia"/>
          <w:sz w:val="24"/>
          <w:szCs w:val="24"/>
        </w:rPr>
      </w:pPr>
      <w:r>
        <w:rPr>
          <w:rFonts w:hint="eastAsia" w:asciiTheme="minorEastAsia" w:hAnsiTheme="minorEastAsia"/>
          <w:b/>
          <w:sz w:val="24"/>
          <w:szCs w:val="24"/>
        </w:rPr>
        <w:t>项目名称</w:t>
      </w:r>
      <w:r>
        <w:rPr>
          <w:rFonts w:hint="eastAsia" w:asciiTheme="minorEastAsia" w:hAnsiTheme="minorEastAsia"/>
          <w:sz w:val="24"/>
          <w:szCs w:val="24"/>
        </w:rPr>
        <w:t>：河北水利电力学院电梯维保单位引入采购项目</w:t>
      </w:r>
    </w:p>
    <w:p>
      <w:pPr>
        <w:pStyle w:val="11"/>
        <w:numPr>
          <w:ilvl w:val="0"/>
          <w:numId w:val="1"/>
        </w:numPr>
        <w:spacing w:line="480" w:lineRule="auto"/>
        <w:ind w:firstLineChars="0"/>
        <w:jc w:val="left"/>
        <w:rPr>
          <w:rFonts w:asciiTheme="minorEastAsia" w:hAnsiTheme="minorEastAsia"/>
          <w:sz w:val="24"/>
          <w:szCs w:val="24"/>
        </w:rPr>
      </w:pPr>
      <w:r>
        <w:rPr>
          <w:rFonts w:hint="eastAsia" w:asciiTheme="minorEastAsia" w:hAnsiTheme="minorEastAsia"/>
          <w:b/>
          <w:sz w:val="24"/>
          <w:szCs w:val="24"/>
        </w:rPr>
        <w:t>项目最高限价：</w:t>
      </w:r>
      <w:r>
        <w:rPr>
          <w:rFonts w:hint="eastAsia" w:ascii="宋体" w:hAnsi="宋体"/>
          <w:sz w:val="24"/>
          <w:szCs w:val="24"/>
        </w:rPr>
        <w:t>伍万陆仟元整（56000元）</w:t>
      </w:r>
      <w:r>
        <w:rPr>
          <w:rFonts w:hint="eastAsia" w:asciiTheme="minorEastAsia" w:hAnsiTheme="minorEastAsia"/>
          <w:sz w:val="24"/>
          <w:szCs w:val="24"/>
        </w:rPr>
        <w:t>；</w:t>
      </w:r>
    </w:p>
    <w:p>
      <w:pPr>
        <w:pStyle w:val="11"/>
        <w:numPr>
          <w:ilvl w:val="0"/>
          <w:numId w:val="1"/>
        </w:numPr>
        <w:spacing w:line="480" w:lineRule="auto"/>
        <w:ind w:firstLineChars="0"/>
        <w:jc w:val="left"/>
        <w:rPr>
          <w:rFonts w:hint="eastAsia" w:asciiTheme="minorEastAsia" w:hAnsiTheme="minorEastAsia"/>
          <w:sz w:val="24"/>
          <w:szCs w:val="24"/>
        </w:rPr>
      </w:pPr>
      <w:r>
        <w:rPr>
          <w:rFonts w:hint="eastAsia" w:asciiTheme="minorEastAsia" w:hAnsiTheme="minorEastAsia"/>
          <w:b/>
          <w:sz w:val="24"/>
          <w:szCs w:val="24"/>
        </w:rPr>
        <w:t>项目内容</w:t>
      </w:r>
      <w:r>
        <w:rPr>
          <w:rFonts w:hint="eastAsia" w:asciiTheme="minorEastAsia" w:hAnsiTheme="minorEastAsia"/>
          <w:sz w:val="24"/>
          <w:szCs w:val="24"/>
        </w:rPr>
        <w:t>：</w:t>
      </w:r>
    </w:p>
    <w:p>
      <w:pPr>
        <w:pStyle w:val="11"/>
        <w:spacing w:line="360" w:lineRule="auto"/>
        <w:ind w:firstLine="480"/>
        <w:jc w:val="left"/>
        <w:rPr>
          <w:sz w:val="24"/>
          <w:szCs w:val="24"/>
        </w:rPr>
      </w:pPr>
      <w:r>
        <w:rPr>
          <w:rFonts w:hint="eastAsia"/>
          <w:sz w:val="24"/>
          <w:szCs w:val="24"/>
        </w:rPr>
        <w:t>1、项目概况</w:t>
      </w:r>
    </w:p>
    <w:p>
      <w:pPr>
        <w:pStyle w:val="11"/>
        <w:spacing w:line="360" w:lineRule="auto"/>
        <w:ind w:firstLine="480"/>
        <w:jc w:val="left"/>
        <w:rPr>
          <w:sz w:val="24"/>
          <w:szCs w:val="24"/>
        </w:rPr>
      </w:pPr>
      <w:r>
        <w:rPr>
          <w:rFonts w:hint="eastAsia"/>
          <w:sz w:val="24"/>
          <w:szCs w:val="24"/>
        </w:rPr>
        <w:t>本项目位于河北省沧州市运河区</w:t>
      </w:r>
      <w:r>
        <w:rPr>
          <w:rFonts w:hint="eastAsia"/>
          <w:sz w:val="24"/>
          <w:szCs w:val="24"/>
          <w:lang w:val="en-US" w:eastAsia="zh-CN"/>
        </w:rPr>
        <w:t>黄河西路49号</w:t>
      </w:r>
      <w:r>
        <w:rPr>
          <w:rFonts w:hint="eastAsia"/>
          <w:sz w:val="24"/>
          <w:szCs w:val="24"/>
        </w:rPr>
        <w:t>河北水利电力学院。</w:t>
      </w:r>
    </w:p>
    <w:p>
      <w:pPr>
        <w:pStyle w:val="11"/>
        <w:spacing w:line="360" w:lineRule="auto"/>
        <w:ind w:firstLine="480"/>
        <w:jc w:val="left"/>
        <w:rPr>
          <w:rFonts w:hint="eastAsia"/>
          <w:sz w:val="24"/>
          <w:szCs w:val="24"/>
        </w:rPr>
      </w:pPr>
      <w:r>
        <w:rPr>
          <w:rFonts w:hint="eastAsia"/>
          <w:sz w:val="24"/>
          <w:szCs w:val="24"/>
          <w:lang w:val="en-US" w:eastAsia="zh-CN"/>
        </w:rPr>
        <w:t>学校共有</w:t>
      </w:r>
      <w:r>
        <w:rPr>
          <w:rFonts w:hint="eastAsia"/>
          <w:sz w:val="24"/>
          <w:szCs w:val="24"/>
        </w:rPr>
        <w:t>蒂森克虏伯电梯14部，日立电梯2部，共16部。</w:t>
      </w:r>
    </w:p>
    <w:p>
      <w:pPr>
        <w:pStyle w:val="11"/>
        <w:spacing w:line="360" w:lineRule="auto"/>
        <w:ind w:firstLine="480"/>
        <w:jc w:val="left"/>
        <w:rPr>
          <w:sz w:val="24"/>
          <w:szCs w:val="24"/>
        </w:rPr>
      </w:pPr>
      <w:r>
        <w:rPr>
          <w:rFonts w:hint="eastAsia"/>
          <w:sz w:val="24"/>
          <w:szCs w:val="24"/>
        </w:rPr>
        <w:t>服务期限：一年</w:t>
      </w:r>
    </w:p>
    <w:p>
      <w:pPr>
        <w:pStyle w:val="11"/>
        <w:spacing w:line="360" w:lineRule="auto"/>
        <w:ind w:firstLine="480"/>
        <w:jc w:val="left"/>
        <w:rPr>
          <w:sz w:val="24"/>
          <w:szCs w:val="24"/>
        </w:rPr>
      </w:pPr>
      <w:r>
        <w:rPr>
          <w:rFonts w:hint="eastAsia"/>
          <w:sz w:val="24"/>
          <w:szCs w:val="24"/>
        </w:rPr>
        <w:t>1.1维保电梯说明</w:t>
      </w:r>
    </w:p>
    <w:p>
      <w:pPr>
        <w:pStyle w:val="11"/>
        <w:spacing w:line="360" w:lineRule="auto"/>
        <w:ind w:firstLine="480"/>
        <w:jc w:val="left"/>
        <w:rPr>
          <w:sz w:val="24"/>
          <w:szCs w:val="24"/>
        </w:rPr>
      </w:pPr>
      <w:r>
        <w:rPr>
          <w:rFonts w:hint="eastAsia"/>
          <w:sz w:val="24"/>
          <w:szCs w:val="24"/>
        </w:rPr>
        <w:t>本次维保的电梯，见下表；</w:t>
      </w:r>
    </w:p>
    <w:tbl>
      <w:tblPr>
        <w:tblStyle w:val="6"/>
        <w:tblW w:w="7280" w:type="dxa"/>
        <w:tblInd w:w="250" w:type="dxa"/>
        <w:tblLayout w:type="fixed"/>
        <w:tblCellMar>
          <w:top w:w="0" w:type="dxa"/>
          <w:left w:w="108" w:type="dxa"/>
          <w:bottom w:w="0" w:type="dxa"/>
          <w:right w:w="108" w:type="dxa"/>
        </w:tblCellMar>
      </w:tblPr>
      <w:tblGrid>
        <w:gridCol w:w="1335"/>
        <w:gridCol w:w="666"/>
        <w:gridCol w:w="679"/>
        <w:gridCol w:w="580"/>
        <w:gridCol w:w="865"/>
        <w:gridCol w:w="567"/>
        <w:gridCol w:w="709"/>
        <w:gridCol w:w="836"/>
        <w:gridCol w:w="709"/>
        <w:gridCol w:w="334"/>
      </w:tblGrid>
      <w:tr>
        <w:trPr>
          <w:trHeight w:val="499" w:hRule="atLeast"/>
        </w:trPr>
        <w:tc>
          <w:tcPr>
            <w:tcW w:w="13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电梯型号规格</w:t>
            </w:r>
          </w:p>
        </w:tc>
        <w:tc>
          <w:tcPr>
            <w:tcW w:w="66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额定载重量</w:t>
            </w:r>
          </w:p>
        </w:tc>
        <w:tc>
          <w:tcPr>
            <w:tcW w:w="67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额定速度</w:t>
            </w:r>
          </w:p>
        </w:tc>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层站数</w:t>
            </w:r>
          </w:p>
        </w:tc>
        <w:tc>
          <w:tcPr>
            <w:tcW w:w="86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电梯名称</w:t>
            </w:r>
          </w:p>
        </w:tc>
        <w:tc>
          <w:tcPr>
            <w:tcW w:w="567"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用途</w:t>
            </w:r>
          </w:p>
        </w:tc>
        <w:tc>
          <w:tcPr>
            <w:tcW w:w="70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名称</w:t>
            </w:r>
          </w:p>
        </w:tc>
        <w:tc>
          <w:tcPr>
            <w:tcW w:w="83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所在楼宇名称</w:t>
            </w:r>
          </w:p>
        </w:tc>
        <w:tc>
          <w:tcPr>
            <w:tcW w:w="709"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保养期限</w:t>
            </w:r>
          </w:p>
        </w:tc>
        <w:tc>
          <w:tcPr>
            <w:tcW w:w="3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备注</w:t>
            </w:r>
          </w:p>
        </w:tc>
      </w:tr>
      <w:tr>
        <w:tblPrEx>
          <w:tblCellMar>
            <w:top w:w="0" w:type="dxa"/>
            <w:left w:w="108" w:type="dxa"/>
            <w:bottom w:w="0" w:type="dxa"/>
            <w:right w:w="108" w:type="dxa"/>
          </w:tblCellMar>
        </w:tblPrEx>
        <w:trPr>
          <w:trHeight w:val="499" w:hRule="atLeast"/>
        </w:trPr>
        <w:tc>
          <w:tcPr>
            <w:tcW w:w="133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TE-GL-1350-C096</w:t>
            </w:r>
          </w:p>
        </w:tc>
        <w:tc>
          <w:tcPr>
            <w:tcW w:w="666"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1350kg</w:t>
            </w:r>
          </w:p>
        </w:tc>
        <w:tc>
          <w:tcPr>
            <w:tcW w:w="679"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1.5m/s</w:t>
            </w:r>
          </w:p>
        </w:tc>
        <w:tc>
          <w:tcPr>
            <w:tcW w:w="580"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12</w:t>
            </w:r>
          </w:p>
        </w:tc>
        <w:tc>
          <w:tcPr>
            <w:tcW w:w="86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曳引驱动乘客电梯</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客梯</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蒂森克虏伯</w:t>
            </w:r>
          </w:p>
        </w:tc>
        <w:tc>
          <w:tcPr>
            <w:tcW w:w="8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2#学生公寓东电梯</w:t>
            </w:r>
          </w:p>
        </w:tc>
        <w:tc>
          <w:tcPr>
            <w:tcW w:w="709"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15日/次</w:t>
            </w:r>
          </w:p>
        </w:tc>
        <w:tc>
          <w:tcPr>
            <w:tcW w:w="3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 w:val="15"/>
                <w:szCs w:val="15"/>
              </w:rPr>
            </w:pPr>
          </w:p>
        </w:tc>
      </w:tr>
      <w:tr>
        <w:tblPrEx>
          <w:tblCellMar>
            <w:top w:w="0" w:type="dxa"/>
            <w:left w:w="108" w:type="dxa"/>
            <w:bottom w:w="0" w:type="dxa"/>
            <w:right w:w="108" w:type="dxa"/>
          </w:tblCellMar>
        </w:tblPrEx>
        <w:trPr>
          <w:trHeight w:val="499" w:hRule="atLeast"/>
        </w:trPr>
        <w:tc>
          <w:tcPr>
            <w:tcW w:w="133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TE-GL-1350-C096</w:t>
            </w:r>
          </w:p>
        </w:tc>
        <w:tc>
          <w:tcPr>
            <w:tcW w:w="666"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1350kg</w:t>
            </w:r>
          </w:p>
        </w:tc>
        <w:tc>
          <w:tcPr>
            <w:tcW w:w="679"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1.5m/s</w:t>
            </w:r>
          </w:p>
        </w:tc>
        <w:tc>
          <w:tcPr>
            <w:tcW w:w="580"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13</w:t>
            </w:r>
          </w:p>
        </w:tc>
        <w:tc>
          <w:tcPr>
            <w:tcW w:w="86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曳引驱动乘客电梯</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客梯</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蒂森克虏伯</w:t>
            </w:r>
          </w:p>
        </w:tc>
        <w:tc>
          <w:tcPr>
            <w:tcW w:w="8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2#学生公寓西电梯</w:t>
            </w:r>
          </w:p>
        </w:tc>
        <w:tc>
          <w:tcPr>
            <w:tcW w:w="709"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15日/次</w:t>
            </w:r>
          </w:p>
        </w:tc>
        <w:tc>
          <w:tcPr>
            <w:tcW w:w="3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 w:val="15"/>
                <w:szCs w:val="15"/>
              </w:rPr>
            </w:pPr>
          </w:p>
        </w:tc>
      </w:tr>
      <w:tr>
        <w:tblPrEx>
          <w:tblCellMar>
            <w:top w:w="0" w:type="dxa"/>
            <w:left w:w="108" w:type="dxa"/>
            <w:bottom w:w="0" w:type="dxa"/>
            <w:right w:w="108" w:type="dxa"/>
          </w:tblCellMar>
        </w:tblPrEx>
        <w:trPr>
          <w:trHeight w:val="499" w:hRule="atLeast"/>
        </w:trPr>
        <w:tc>
          <w:tcPr>
            <w:tcW w:w="133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TE-GL-1350-C096</w:t>
            </w:r>
          </w:p>
        </w:tc>
        <w:tc>
          <w:tcPr>
            <w:tcW w:w="666"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1350kg</w:t>
            </w:r>
          </w:p>
        </w:tc>
        <w:tc>
          <w:tcPr>
            <w:tcW w:w="679"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1.5m/s</w:t>
            </w:r>
          </w:p>
        </w:tc>
        <w:tc>
          <w:tcPr>
            <w:tcW w:w="580"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12</w:t>
            </w:r>
          </w:p>
        </w:tc>
        <w:tc>
          <w:tcPr>
            <w:tcW w:w="86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曳引驱动乘客电梯</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客梯</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蒂森克虏伯</w:t>
            </w:r>
          </w:p>
        </w:tc>
        <w:tc>
          <w:tcPr>
            <w:tcW w:w="8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3#学生公寓东电梯</w:t>
            </w:r>
          </w:p>
        </w:tc>
        <w:tc>
          <w:tcPr>
            <w:tcW w:w="709"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15日/次</w:t>
            </w:r>
          </w:p>
        </w:tc>
        <w:tc>
          <w:tcPr>
            <w:tcW w:w="3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 w:val="15"/>
                <w:szCs w:val="15"/>
              </w:rPr>
            </w:pPr>
          </w:p>
        </w:tc>
      </w:tr>
      <w:tr>
        <w:tblPrEx>
          <w:tblCellMar>
            <w:top w:w="0" w:type="dxa"/>
            <w:left w:w="108" w:type="dxa"/>
            <w:bottom w:w="0" w:type="dxa"/>
            <w:right w:w="108" w:type="dxa"/>
          </w:tblCellMar>
        </w:tblPrEx>
        <w:trPr>
          <w:trHeight w:val="499" w:hRule="atLeast"/>
        </w:trPr>
        <w:tc>
          <w:tcPr>
            <w:tcW w:w="133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TE-GL-1350-C096</w:t>
            </w:r>
          </w:p>
        </w:tc>
        <w:tc>
          <w:tcPr>
            <w:tcW w:w="666"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1350kg</w:t>
            </w:r>
          </w:p>
        </w:tc>
        <w:tc>
          <w:tcPr>
            <w:tcW w:w="679"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1.5m/s</w:t>
            </w:r>
          </w:p>
        </w:tc>
        <w:tc>
          <w:tcPr>
            <w:tcW w:w="580"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13</w:t>
            </w:r>
          </w:p>
        </w:tc>
        <w:tc>
          <w:tcPr>
            <w:tcW w:w="86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曳引驱动乘客电梯</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客梯</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蒂森克虏伯</w:t>
            </w:r>
          </w:p>
        </w:tc>
        <w:tc>
          <w:tcPr>
            <w:tcW w:w="8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3#学生公寓西电梯</w:t>
            </w:r>
          </w:p>
        </w:tc>
        <w:tc>
          <w:tcPr>
            <w:tcW w:w="709"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15日/次</w:t>
            </w:r>
          </w:p>
        </w:tc>
        <w:tc>
          <w:tcPr>
            <w:tcW w:w="3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 w:val="15"/>
                <w:szCs w:val="15"/>
              </w:rPr>
            </w:pPr>
          </w:p>
        </w:tc>
      </w:tr>
      <w:tr>
        <w:trPr>
          <w:trHeight w:val="405" w:hRule="atLeast"/>
        </w:trPr>
        <w:tc>
          <w:tcPr>
            <w:tcW w:w="133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TE-GL-1350-C096</w:t>
            </w:r>
          </w:p>
        </w:tc>
        <w:tc>
          <w:tcPr>
            <w:tcW w:w="666"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1350kg</w:t>
            </w:r>
          </w:p>
        </w:tc>
        <w:tc>
          <w:tcPr>
            <w:tcW w:w="679"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1.5m/s</w:t>
            </w:r>
          </w:p>
        </w:tc>
        <w:tc>
          <w:tcPr>
            <w:tcW w:w="580"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12</w:t>
            </w:r>
          </w:p>
        </w:tc>
        <w:tc>
          <w:tcPr>
            <w:tcW w:w="86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曳引驱动乘客电梯</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客梯</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蒂森克虏伯</w:t>
            </w:r>
          </w:p>
        </w:tc>
        <w:tc>
          <w:tcPr>
            <w:tcW w:w="8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5#学生公寓东电梯</w:t>
            </w:r>
          </w:p>
        </w:tc>
        <w:tc>
          <w:tcPr>
            <w:tcW w:w="709"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15日/次</w:t>
            </w:r>
          </w:p>
        </w:tc>
        <w:tc>
          <w:tcPr>
            <w:tcW w:w="3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 w:val="15"/>
                <w:szCs w:val="15"/>
              </w:rPr>
            </w:pPr>
          </w:p>
        </w:tc>
      </w:tr>
      <w:tr>
        <w:tblPrEx>
          <w:tblCellMar>
            <w:top w:w="0" w:type="dxa"/>
            <w:left w:w="108" w:type="dxa"/>
            <w:bottom w:w="0" w:type="dxa"/>
            <w:right w:w="108" w:type="dxa"/>
          </w:tblCellMar>
        </w:tblPrEx>
        <w:trPr>
          <w:trHeight w:val="499" w:hRule="atLeast"/>
        </w:trPr>
        <w:tc>
          <w:tcPr>
            <w:tcW w:w="133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TE-GL-1350-C096</w:t>
            </w:r>
          </w:p>
        </w:tc>
        <w:tc>
          <w:tcPr>
            <w:tcW w:w="666"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1350kg</w:t>
            </w:r>
          </w:p>
        </w:tc>
        <w:tc>
          <w:tcPr>
            <w:tcW w:w="679"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1.5m/s</w:t>
            </w:r>
          </w:p>
        </w:tc>
        <w:tc>
          <w:tcPr>
            <w:tcW w:w="580"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13</w:t>
            </w:r>
          </w:p>
        </w:tc>
        <w:tc>
          <w:tcPr>
            <w:tcW w:w="86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曳引驱动乘客电梯</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客梯</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蒂森克虏伯</w:t>
            </w:r>
          </w:p>
        </w:tc>
        <w:tc>
          <w:tcPr>
            <w:tcW w:w="8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5#学生公寓西电梯</w:t>
            </w:r>
          </w:p>
        </w:tc>
        <w:tc>
          <w:tcPr>
            <w:tcW w:w="709"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15日/次</w:t>
            </w:r>
          </w:p>
        </w:tc>
        <w:tc>
          <w:tcPr>
            <w:tcW w:w="3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 w:val="15"/>
                <w:szCs w:val="15"/>
              </w:rPr>
            </w:pPr>
          </w:p>
        </w:tc>
      </w:tr>
      <w:tr>
        <w:tblPrEx>
          <w:tblCellMar>
            <w:top w:w="0" w:type="dxa"/>
            <w:left w:w="108" w:type="dxa"/>
            <w:bottom w:w="0" w:type="dxa"/>
            <w:right w:w="108" w:type="dxa"/>
          </w:tblCellMar>
        </w:tblPrEx>
        <w:trPr>
          <w:trHeight w:val="499" w:hRule="atLeast"/>
        </w:trPr>
        <w:tc>
          <w:tcPr>
            <w:tcW w:w="133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TE-EV01-1350-C060</w:t>
            </w:r>
          </w:p>
        </w:tc>
        <w:tc>
          <w:tcPr>
            <w:tcW w:w="666"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1350kg</w:t>
            </w:r>
          </w:p>
        </w:tc>
        <w:tc>
          <w:tcPr>
            <w:tcW w:w="679"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1m/s</w:t>
            </w:r>
          </w:p>
        </w:tc>
        <w:tc>
          <w:tcPr>
            <w:tcW w:w="580"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2</w:t>
            </w:r>
          </w:p>
        </w:tc>
        <w:tc>
          <w:tcPr>
            <w:tcW w:w="86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曳引式无机房客梯</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客梯</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蒂森克虏伯</w:t>
            </w:r>
          </w:p>
        </w:tc>
        <w:tc>
          <w:tcPr>
            <w:tcW w:w="8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第一食堂</w:t>
            </w:r>
          </w:p>
        </w:tc>
        <w:tc>
          <w:tcPr>
            <w:tcW w:w="709"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15日/次</w:t>
            </w:r>
          </w:p>
        </w:tc>
        <w:tc>
          <w:tcPr>
            <w:tcW w:w="3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 w:val="15"/>
                <w:szCs w:val="15"/>
              </w:rPr>
            </w:pPr>
          </w:p>
        </w:tc>
      </w:tr>
      <w:tr>
        <w:tblPrEx>
          <w:tblCellMar>
            <w:top w:w="0" w:type="dxa"/>
            <w:left w:w="108" w:type="dxa"/>
            <w:bottom w:w="0" w:type="dxa"/>
            <w:right w:w="108" w:type="dxa"/>
          </w:tblCellMar>
        </w:tblPrEx>
        <w:trPr>
          <w:trHeight w:val="499" w:hRule="atLeast"/>
        </w:trPr>
        <w:tc>
          <w:tcPr>
            <w:tcW w:w="133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TE-EV01-1000-C060</w:t>
            </w:r>
          </w:p>
        </w:tc>
        <w:tc>
          <w:tcPr>
            <w:tcW w:w="666"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1000kg</w:t>
            </w:r>
          </w:p>
        </w:tc>
        <w:tc>
          <w:tcPr>
            <w:tcW w:w="679"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1m/s</w:t>
            </w:r>
          </w:p>
        </w:tc>
        <w:tc>
          <w:tcPr>
            <w:tcW w:w="580"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5</w:t>
            </w:r>
          </w:p>
        </w:tc>
        <w:tc>
          <w:tcPr>
            <w:tcW w:w="86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曳引式无机房客梯</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客梯</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蒂森克虏伯</w:t>
            </w:r>
          </w:p>
        </w:tc>
        <w:tc>
          <w:tcPr>
            <w:tcW w:w="8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第三教学楼</w:t>
            </w:r>
          </w:p>
        </w:tc>
        <w:tc>
          <w:tcPr>
            <w:tcW w:w="709"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15日/次</w:t>
            </w:r>
          </w:p>
        </w:tc>
        <w:tc>
          <w:tcPr>
            <w:tcW w:w="3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 w:val="15"/>
                <w:szCs w:val="15"/>
              </w:rPr>
            </w:pPr>
          </w:p>
        </w:tc>
      </w:tr>
      <w:tr>
        <w:tblPrEx>
          <w:tblCellMar>
            <w:top w:w="0" w:type="dxa"/>
            <w:left w:w="108" w:type="dxa"/>
            <w:bottom w:w="0" w:type="dxa"/>
            <w:right w:w="108" w:type="dxa"/>
          </w:tblCellMar>
        </w:tblPrEx>
        <w:trPr>
          <w:trHeight w:val="499" w:hRule="atLeast"/>
        </w:trPr>
        <w:tc>
          <w:tcPr>
            <w:tcW w:w="133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TE-GL-1000-C09</w:t>
            </w:r>
            <w:bookmarkStart w:id="0" w:name="_GoBack"/>
            <w:bookmarkEnd w:id="0"/>
            <w:r>
              <w:rPr>
                <w:rFonts w:hint="eastAsia" w:ascii="宋体" w:hAnsi="宋体" w:eastAsia="宋体" w:cs="宋体"/>
                <w:color w:val="000000"/>
                <w:kern w:val="0"/>
                <w:sz w:val="15"/>
                <w:szCs w:val="15"/>
              </w:rPr>
              <w:t>6</w:t>
            </w:r>
          </w:p>
        </w:tc>
        <w:tc>
          <w:tcPr>
            <w:tcW w:w="666"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1000kg</w:t>
            </w:r>
          </w:p>
        </w:tc>
        <w:tc>
          <w:tcPr>
            <w:tcW w:w="679"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1.6 m/s</w:t>
            </w:r>
          </w:p>
        </w:tc>
        <w:tc>
          <w:tcPr>
            <w:tcW w:w="580"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14</w:t>
            </w:r>
          </w:p>
        </w:tc>
        <w:tc>
          <w:tcPr>
            <w:tcW w:w="86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曳引驱动乘客电梯</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客梯</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蒂森克虏伯</w:t>
            </w:r>
          </w:p>
        </w:tc>
        <w:tc>
          <w:tcPr>
            <w:tcW w:w="8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图书馆东东电梯</w:t>
            </w:r>
          </w:p>
        </w:tc>
        <w:tc>
          <w:tcPr>
            <w:tcW w:w="709"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15日/次</w:t>
            </w:r>
          </w:p>
        </w:tc>
        <w:tc>
          <w:tcPr>
            <w:tcW w:w="3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 w:val="15"/>
                <w:szCs w:val="15"/>
              </w:rPr>
            </w:pPr>
          </w:p>
        </w:tc>
      </w:tr>
      <w:tr>
        <w:tblPrEx>
          <w:tblCellMar>
            <w:top w:w="0" w:type="dxa"/>
            <w:left w:w="108" w:type="dxa"/>
            <w:bottom w:w="0" w:type="dxa"/>
            <w:right w:w="108" w:type="dxa"/>
          </w:tblCellMar>
        </w:tblPrEx>
        <w:trPr>
          <w:trHeight w:val="499" w:hRule="atLeast"/>
        </w:trPr>
        <w:tc>
          <w:tcPr>
            <w:tcW w:w="133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TE-GL-1000-C096</w:t>
            </w:r>
          </w:p>
        </w:tc>
        <w:tc>
          <w:tcPr>
            <w:tcW w:w="666"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1000kg</w:t>
            </w:r>
          </w:p>
        </w:tc>
        <w:tc>
          <w:tcPr>
            <w:tcW w:w="679"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1.6 m/s</w:t>
            </w:r>
          </w:p>
        </w:tc>
        <w:tc>
          <w:tcPr>
            <w:tcW w:w="580"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15</w:t>
            </w:r>
          </w:p>
        </w:tc>
        <w:tc>
          <w:tcPr>
            <w:tcW w:w="86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曳引驱动乘客电梯</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客梯</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蒂森克虏伯</w:t>
            </w:r>
          </w:p>
        </w:tc>
        <w:tc>
          <w:tcPr>
            <w:tcW w:w="8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图书馆东西电梯</w:t>
            </w:r>
          </w:p>
        </w:tc>
        <w:tc>
          <w:tcPr>
            <w:tcW w:w="709"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15日/次</w:t>
            </w:r>
          </w:p>
        </w:tc>
        <w:tc>
          <w:tcPr>
            <w:tcW w:w="3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 w:val="15"/>
                <w:szCs w:val="15"/>
              </w:rPr>
            </w:pPr>
          </w:p>
        </w:tc>
      </w:tr>
      <w:tr>
        <w:tblPrEx>
          <w:tblCellMar>
            <w:top w:w="0" w:type="dxa"/>
            <w:left w:w="108" w:type="dxa"/>
            <w:bottom w:w="0" w:type="dxa"/>
            <w:right w:w="108" w:type="dxa"/>
          </w:tblCellMar>
        </w:tblPrEx>
        <w:trPr>
          <w:trHeight w:val="499" w:hRule="atLeast"/>
        </w:trPr>
        <w:tc>
          <w:tcPr>
            <w:tcW w:w="133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TE-EV01-1000-C090</w:t>
            </w:r>
          </w:p>
        </w:tc>
        <w:tc>
          <w:tcPr>
            <w:tcW w:w="666"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1000kg</w:t>
            </w:r>
          </w:p>
        </w:tc>
        <w:tc>
          <w:tcPr>
            <w:tcW w:w="679"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1.5 m/s</w:t>
            </w:r>
          </w:p>
        </w:tc>
        <w:tc>
          <w:tcPr>
            <w:tcW w:w="580"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8</w:t>
            </w:r>
          </w:p>
        </w:tc>
        <w:tc>
          <w:tcPr>
            <w:tcW w:w="86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曳引式无机房客梯</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客梯</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蒂森克虏伯</w:t>
            </w:r>
          </w:p>
        </w:tc>
        <w:tc>
          <w:tcPr>
            <w:tcW w:w="8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图书馆中东电梯</w:t>
            </w:r>
          </w:p>
        </w:tc>
        <w:tc>
          <w:tcPr>
            <w:tcW w:w="709"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15日/次</w:t>
            </w:r>
          </w:p>
        </w:tc>
        <w:tc>
          <w:tcPr>
            <w:tcW w:w="3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 w:val="15"/>
                <w:szCs w:val="15"/>
              </w:rPr>
            </w:pPr>
          </w:p>
        </w:tc>
      </w:tr>
      <w:tr>
        <w:tblPrEx>
          <w:tblCellMar>
            <w:top w:w="0" w:type="dxa"/>
            <w:left w:w="108" w:type="dxa"/>
            <w:bottom w:w="0" w:type="dxa"/>
            <w:right w:w="108" w:type="dxa"/>
          </w:tblCellMar>
        </w:tblPrEx>
        <w:trPr>
          <w:trHeight w:val="499" w:hRule="atLeast"/>
        </w:trPr>
        <w:tc>
          <w:tcPr>
            <w:tcW w:w="133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TE-EV01-1000-C090</w:t>
            </w:r>
          </w:p>
        </w:tc>
        <w:tc>
          <w:tcPr>
            <w:tcW w:w="666"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1000kg</w:t>
            </w:r>
          </w:p>
        </w:tc>
        <w:tc>
          <w:tcPr>
            <w:tcW w:w="679"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1.5 m/s</w:t>
            </w:r>
          </w:p>
        </w:tc>
        <w:tc>
          <w:tcPr>
            <w:tcW w:w="580"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8</w:t>
            </w:r>
          </w:p>
        </w:tc>
        <w:tc>
          <w:tcPr>
            <w:tcW w:w="86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曳引式无机房客梯</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客梯</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蒂森克虏伯</w:t>
            </w:r>
          </w:p>
        </w:tc>
        <w:tc>
          <w:tcPr>
            <w:tcW w:w="8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图书馆中西电梯</w:t>
            </w:r>
          </w:p>
        </w:tc>
        <w:tc>
          <w:tcPr>
            <w:tcW w:w="709"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15日/次</w:t>
            </w:r>
          </w:p>
        </w:tc>
        <w:tc>
          <w:tcPr>
            <w:tcW w:w="3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 w:val="15"/>
                <w:szCs w:val="15"/>
              </w:rPr>
            </w:pPr>
          </w:p>
        </w:tc>
      </w:tr>
      <w:tr>
        <w:trPr>
          <w:trHeight w:val="499" w:hRule="atLeast"/>
        </w:trPr>
        <w:tc>
          <w:tcPr>
            <w:tcW w:w="133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TE-EV01-1000-C090</w:t>
            </w:r>
          </w:p>
        </w:tc>
        <w:tc>
          <w:tcPr>
            <w:tcW w:w="666"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1000kg</w:t>
            </w:r>
          </w:p>
        </w:tc>
        <w:tc>
          <w:tcPr>
            <w:tcW w:w="679"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1.5 m/s</w:t>
            </w:r>
          </w:p>
        </w:tc>
        <w:tc>
          <w:tcPr>
            <w:tcW w:w="580"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9</w:t>
            </w:r>
          </w:p>
        </w:tc>
        <w:tc>
          <w:tcPr>
            <w:tcW w:w="86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曳引式无机房客梯</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客梯</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蒂森克虏伯</w:t>
            </w:r>
          </w:p>
        </w:tc>
        <w:tc>
          <w:tcPr>
            <w:tcW w:w="8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图书馆西东电梯</w:t>
            </w:r>
          </w:p>
        </w:tc>
        <w:tc>
          <w:tcPr>
            <w:tcW w:w="709"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15日/次</w:t>
            </w:r>
          </w:p>
        </w:tc>
        <w:tc>
          <w:tcPr>
            <w:tcW w:w="3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 w:val="15"/>
                <w:szCs w:val="15"/>
              </w:rPr>
            </w:pPr>
          </w:p>
        </w:tc>
      </w:tr>
      <w:tr>
        <w:trPr>
          <w:trHeight w:val="499" w:hRule="atLeast"/>
        </w:trPr>
        <w:tc>
          <w:tcPr>
            <w:tcW w:w="133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TE-GL-1600-C096</w:t>
            </w:r>
          </w:p>
        </w:tc>
        <w:tc>
          <w:tcPr>
            <w:tcW w:w="666"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1600kg</w:t>
            </w:r>
          </w:p>
        </w:tc>
        <w:tc>
          <w:tcPr>
            <w:tcW w:w="679"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1.6 m/s</w:t>
            </w:r>
          </w:p>
        </w:tc>
        <w:tc>
          <w:tcPr>
            <w:tcW w:w="580"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15</w:t>
            </w:r>
          </w:p>
        </w:tc>
        <w:tc>
          <w:tcPr>
            <w:tcW w:w="86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曳引式无机房客梯</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客梯</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蒂森克虏伯</w:t>
            </w:r>
          </w:p>
        </w:tc>
        <w:tc>
          <w:tcPr>
            <w:tcW w:w="8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图书馆西西电梯</w:t>
            </w:r>
          </w:p>
        </w:tc>
        <w:tc>
          <w:tcPr>
            <w:tcW w:w="709"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15日/次</w:t>
            </w:r>
          </w:p>
        </w:tc>
        <w:tc>
          <w:tcPr>
            <w:tcW w:w="3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 w:val="15"/>
                <w:szCs w:val="15"/>
              </w:rPr>
            </w:pPr>
          </w:p>
        </w:tc>
      </w:tr>
      <w:tr>
        <w:tblPrEx>
          <w:tblCellMar>
            <w:top w:w="0" w:type="dxa"/>
            <w:left w:w="108" w:type="dxa"/>
            <w:bottom w:w="0" w:type="dxa"/>
            <w:right w:w="108" w:type="dxa"/>
          </w:tblCellMar>
        </w:tblPrEx>
        <w:trPr>
          <w:trHeight w:val="499" w:hRule="atLeast"/>
        </w:trPr>
        <w:tc>
          <w:tcPr>
            <w:tcW w:w="133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UAX-1000-C060</w:t>
            </w:r>
          </w:p>
        </w:tc>
        <w:tc>
          <w:tcPr>
            <w:tcW w:w="666"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1000kg</w:t>
            </w:r>
          </w:p>
        </w:tc>
        <w:tc>
          <w:tcPr>
            <w:tcW w:w="679"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1m/s</w:t>
            </w:r>
          </w:p>
        </w:tc>
        <w:tc>
          <w:tcPr>
            <w:tcW w:w="580"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5</w:t>
            </w:r>
          </w:p>
        </w:tc>
        <w:tc>
          <w:tcPr>
            <w:tcW w:w="86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曳引式无机房客梯</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客梯</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日立</w:t>
            </w:r>
          </w:p>
        </w:tc>
        <w:tc>
          <w:tcPr>
            <w:tcW w:w="8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第四教学楼</w:t>
            </w:r>
          </w:p>
        </w:tc>
        <w:tc>
          <w:tcPr>
            <w:tcW w:w="709"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15日/次</w:t>
            </w:r>
          </w:p>
        </w:tc>
        <w:tc>
          <w:tcPr>
            <w:tcW w:w="3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 w:val="15"/>
                <w:szCs w:val="15"/>
              </w:rPr>
            </w:pPr>
          </w:p>
        </w:tc>
      </w:tr>
      <w:tr>
        <w:tblPrEx>
          <w:tblCellMar>
            <w:top w:w="0" w:type="dxa"/>
            <w:left w:w="108" w:type="dxa"/>
            <w:bottom w:w="0" w:type="dxa"/>
            <w:right w:w="108" w:type="dxa"/>
          </w:tblCellMar>
        </w:tblPrEx>
        <w:trPr>
          <w:trHeight w:val="499" w:hRule="atLeast"/>
        </w:trPr>
        <w:tc>
          <w:tcPr>
            <w:tcW w:w="133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UAX-1000-C060</w:t>
            </w:r>
          </w:p>
        </w:tc>
        <w:tc>
          <w:tcPr>
            <w:tcW w:w="666"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1000kg</w:t>
            </w:r>
          </w:p>
        </w:tc>
        <w:tc>
          <w:tcPr>
            <w:tcW w:w="679"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1m/s</w:t>
            </w:r>
          </w:p>
        </w:tc>
        <w:tc>
          <w:tcPr>
            <w:tcW w:w="580"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2</w:t>
            </w:r>
          </w:p>
        </w:tc>
        <w:tc>
          <w:tcPr>
            <w:tcW w:w="86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曳引式无机房客梯</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客梯</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日立</w:t>
            </w:r>
          </w:p>
        </w:tc>
        <w:tc>
          <w:tcPr>
            <w:tcW w:w="8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三食堂</w:t>
            </w:r>
          </w:p>
        </w:tc>
        <w:tc>
          <w:tcPr>
            <w:tcW w:w="709"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15日/次</w:t>
            </w:r>
          </w:p>
        </w:tc>
        <w:tc>
          <w:tcPr>
            <w:tcW w:w="3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 w:val="15"/>
                <w:szCs w:val="15"/>
              </w:rPr>
            </w:pPr>
          </w:p>
        </w:tc>
      </w:tr>
    </w:tbl>
    <w:p>
      <w:pPr>
        <w:pStyle w:val="11"/>
        <w:spacing w:line="360" w:lineRule="auto"/>
        <w:ind w:firstLine="0" w:firstLineChars="0"/>
        <w:jc w:val="left"/>
        <w:rPr>
          <w:sz w:val="24"/>
          <w:szCs w:val="24"/>
        </w:rPr>
      </w:pPr>
      <w:r>
        <w:rPr>
          <w:rFonts w:hint="eastAsia"/>
          <w:sz w:val="24"/>
          <w:szCs w:val="24"/>
        </w:rPr>
        <w:t>1.2服务标准</w:t>
      </w:r>
    </w:p>
    <w:p>
      <w:pPr>
        <w:pStyle w:val="11"/>
        <w:spacing w:line="360" w:lineRule="auto"/>
        <w:ind w:firstLine="0" w:firstLineChars="0"/>
        <w:jc w:val="left"/>
        <w:rPr>
          <w:sz w:val="24"/>
          <w:szCs w:val="24"/>
        </w:rPr>
      </w:pPr>
      <w:r>
        <w:rPr>
          <w:rFonts w:hint="eastAsia"/>
          <w:sz w:val="24"/>
          <w:szCs w:val="24"/>
        </w:rPr>
        <w:t>（1）电梯使用管理与维修保养规则TSG T5001-2009</w:t>
      </w:r>
    </w:p>
    <w:p>
      <w:pPr>
        <w:pStyle w:val="11"/>
        <w:spacing w:line="360" w:lineRule="auto"/>
        <w:ind w:firstLine="0" w:firstLineChars="0"/>
        <w:jc w:val="left"/>
        <w:rPr>
          <w:sz w:val="24"/>
          <w:szCs w:val="24"/>
        </w:rPr>
      </w:pPr>
      <w:r>
        <w:rPr>
          <w:rFonts w:hint="eastAsia"/>
          <w:sz w:val="24"/>
          <w:szCs w:val="24"/>
        </w:rPr>
        <w:t>（2）河北省电梯维修保养安全管理规范DB33/ 728-2009</w:t>
      </w:r>
    </w:p>
    <w:p>
      <w:pPr>
        <w:pStyle w:val="11"/>
        <w:spacing w:line="360" w:lineRule="auto"/>
        <w:ind w:firstLine="0" w:firstLineChars="0"/>
        <w:jc w:val="left"/>
        <w:rPr>
          <w:sz w:val="24"/>
          <w:szCs w:val="24"/>
        </w:rPr>
      </w:pPr>
      <w:r>
        <w:rPr>
          <w:rFonts w:hint="eastAsia"/>
          <w:sz w:val="24"/>
          <w:szCs w:val="24"/>
        </w:rPr>
        <w:t>（3）电梯维修规范GB/T 18775-2002</w:t>
      </w:r>
    </w:p>
    <w:p>
      <w:pPr>
        <w:pStyle w:val="11"/>
        <w:spacing w:line="360" w:lineRule="auto"/>
        <w:ind w:firstLine="0" w:firstLineChars="0"/>
        <w:jc w:val="left"/>
        <w:rPr>
          <w:sz w:val="24"/>
          <w:szCs w:val="24"/>
        </w:rPr>
      </w:pPr>
      <w:r>
        <w:rPr>
          <w:rFonts w:hint="eastAsia"/>
          <w:sz w:val="24"/>
          <w:szCs w:val="24"/>
        </w:rPr>
        <w:t>（4）电梯安装使用维护说明书</w:t>
      </w:r>
    </w:p>
    <w:p>
      <w:pPr>
        <w:pStyle w:val="11"/>
        <w:spacing w:line="360" w:lineRule="auto"/>
        <w:ind w:firstLine="0" w:firstLineChars="0"/>
        <w:jc w:val="left"/>
        <w:rPr>
          <w:sz w:val="24"/>
          <w:szCs w:val="24"/>
        </w:rPr>
      </w:pPr>
      <w:r>
        <w:rPr>
          <w:rFonts w:hint="eastAsia"/>
          <w:sz w:val="24"/>
          <w:szCs w:val="24"/>
        </w:rPr>
        <w:t>（5）维保合同</w:t>
      </w:r>
    </w:p>
    <w:p>
      <w:pPr>
        <w:pStyle w:val="11"/>
        <w:spacing w:line="360" w:lineRule="auto"/>
        <w:ind w:firstLine="0" w:firstLineChars="0"/>
        <w:jc w:val="left"/>
        <w:rPr>
          <w:sz w:val="24"/>
          <w:szCs w:val="24"/>
        </w:rPr>
      </w:pPr>
      <w:r>
        <w:rPr>
          <w:rFonts w:hint="eastAsia"/>
          <w:sz w:val="24"/>
          <w:szCs w:val="24"/>
        </w:rPr>
        <w:t>1.3检验标准</w:t>
      </w:r>
    </w:p>
    <w:p>
      <w:pPr>
        <w:pStyle w:val="11"/>
        <w:spacing w:line="360" w:lineRule="auto"/>
        <w:ind w:firstLine="0" w:firstLineChars="0"/>
        <w:jc w:val="left"/>
        <w:rPr>
          <w:sz w:val="24"/>
          <w:szCs w:val="24"/>
        </w:rPr>
      </w:pPr>
      <w:r>
        <w:rPr>
          <w:rFonts w:hint="eastAsia"/>
          <w:sz w:val="24"/>
          <w:szCs w:val="24"/>
        </w:rPr>
        <w:t>电梯监督检验和定期检验规则TSG 7001-2009</w:t>
      </w:r>
    </w:p>
    <w:p>
      <w:pPr>
        <w:pStyle w:val="11"/>
        <w:spacing w:line="360" w:lineRule="auto"/>
        <w:ind w:firstLine="0" w:firstLineChars="0"/>
        <w:jc w:val="left"/>
        <w:rPr>
          <w:sz w:val="24"/>
          <w:szCs w:val="24"/>
        </w:rPr>
      </w:pPr>
      <w:r>
        <w:rPr>
          <w:rFonts w:hint="eastAsia"/>
          <w:sz w:val="24"/>
          <w:szCs w:val="24"/>
        </w:rPr>
        <w:t>以上规章、标准不论有年代号，处有特别说明的以外，均以最新有效版本为准。</w:t>
      </w:r>
    </w:p>
    <w:p>
      <w:pPr>
        <w:pStyle w:val="11"/>
        <w:spacing w:line="360" w:lineRule="auto"/>
        <w:ind w:firstLine="0" w:firstLineChars="0"/>
        <w:jc w:val="left"/>
        <w:rPr>
          <w:sz w:val="24"/>
          <w:szCs w:val="24"/>
        </w:rPr>
      </w:pPr>
      <w:r>
        <w:rPr>
          <w:rFonts w:hint="eastAsia"/>
          <w:sz w:val="24"/>
          <w:szCs w:val="24"/>
        </w:rPr>
        <w:t>2、电梯维护保养服务要求</w:t>
      </w:r>
    </w:p>
    <w:p>
      <w:pPr>
        <w:pStyle w:val="11"/>
        <w:spacing w:line="360" w:lineRule="auto"/>
        <w:ind w:firstLine="0" w:firstLineChars="0"/>
        <w:jc w:val="left"/>
        <w:rPr>
          <w:sz w:val="24"/>
          <w:szCs w:val="24"/>
        </w:rPr>
      </w:pPr>
      <w:r>
        <w:rPr>
          <w:rFonts w:hint="eastAsia"/>
          <w:sz w:val="24"/>
          <w:szCs w:val="24"/>
        </w:rPr>
        <w:t>2.1保证电梯安全运行。</w:t>
      </w:r>
    </w:p>
    <w:p>
      <w:pPr>
        <w:pStyle w:val="11"/>
        <w:spacing w:line="360" w:lineRule="auto"/>
        <w:ind w:firstLine="0" w:firstLineChars="0"/>
        <w:jc w:val="left"/>
        <w:rPr>
          <w:sz w:val="24"/>
          <w:szCs w:val="24"/>
        </w:rPr>
      </w:pPr>
      <w:r>
        <w:rPr>
          <w:rFonts w:hint="eastAsia"/>
          <w:sz w:val="24"/>
          <w:szCs w:val="24"/>
        </w:rPr>
        <w:t>2.2在保证电梯安全运行的前提下满足正常生产的需要。</w:t>
      </w:r>
    </w:p>
    <w:p>
      <w:pPr>
        <w:pStyle w:val="11"/>
        <w:spacing w:line="360" w:lineRule="auto"/>
        <w:ind w:firstLine="0" w:firstLineChars="0"/>
        <w:jc w:val="left"/>
        <w:rPr>
          <w:sz w:val="24"/>
          <w:szCs w:val="24"/>
        </w:rPr>
      </w:pPr>
      <w:r>
        <w:rPr>
          <w:rFonts w:hint="eastAsia"/>
          <w:sz w:val="24"/>
          <w:szCs w:val="24"/>
        </w:rPr>
        <w:t>2.3在保证电梯安全运行的前提下降低电梯维护保养成本。</w:t>
      </w:r>
    </w:p>
    <w:p>
      <w:pPr>
        <w:pStyle w:val="11"/>
        <w:spacing w:line="360" w:lineRule="auto"/>
        <w:ind w:firstLine="0" w:firstLineChars="0"/>
        <w:jc w:val="left"/>
        <w:rPr>
          <w:sz w:val="24"/>
          <w:szCs w:val="24"/>
        </w:rPr>
      </w:pPr>
      <w:r>
        <w:rPr>
          <w:rFonts w:hint="eastAsia"/>
          <w:sz w:val="24"/>
          <w:szCs w:val="24"/>
        </w:rPr>
        <w:t>2.4日常维保保养应遵守的标准</w:t>
      </w:r>
    </w:p>
    <w:p>
      <w:pPr>
        <w:pStyle w:val="11"/>
        <w:spacing w:line="360" w:lineRule="auto"/>
        <w:ind w:firstLine="0" w:firstLineChars="0"/>
        <w:jc w:val="left"/>
        <w:rPr>
          <w:sz w:val="24"/>
          <w:szCs w:val="24"/>
        </w:rPr>
      </w:pPr>
      <w:r>
        <w:rPr>
          <w:rFonts w:hint="eastAsia"/>
          <w:sz w:val="24"/>
          <w:szCs w:val="24"/>
        </w:rPr>
        <w:t>（1）电梯使用管理与维修保养规则TSG T5001-2009</w:t>
      </w:r>
    </w:p>
    <w:p>
      <w:pPr>
        <w:pStyle w:val="11"/>
        <w:spacing w:line="360" w:lineRule="auto"/>
        <w:ind w:firstLine="0" w:firstLineChars="0"/>
        <w:jc w:val="left"/>
        <w:rPr>
          <w:sz w:val="24"/>
          <w:szCs w:val="24"/>
        </w:rPr>
      </w:pPr>
      <w:r>
        <w:rPr>
          <w:rFonts w:hint="eastAsia"/>
          <w:sz w:val="24"/>
          <w:szCs w:val="24"/>
        </w:rPr>
        <w:t>（2）河北省电梯维修保养安全管理规范DB33/ 728-2009</w:t>
      </w:r>
    </w:p>
    <w:p>
      <w:pPr>
        <w:pStyle w:val="11"/>
        <w:spacing w:line="360" w:lineRule="auto"/>
        <w:ind w:firstLine="0" w:firstLineChars="0"/>
        <w:jc w:val="left"/>
        <w:rPr>
          <w:sz w:val="24"/>
          <w:szCs w:val="24"/>
        </w:rPr>
      </w:pPr>
      <w:r>
        <w:rPr>
          <w:rFonts w:hint="eastAsia"/>
          <w:sz w:val="24"/>
          <w:szCs w:val="24"/>
        </w:rPr>
        <w:t>（3）电梯维修规范GB/T 18775-2002</w:t>
      </w:r>
    </w:p>
    <w:p>
      <w:pPr>
        <w:pStyle w:val="11"/>
        <w:spacing w:line="360" w:lineRule="auto"/>
        <w:ind w:firstLine="0" w:firstLineChars="0"/>
        <w:jc w:val="left"/>
        <w:rPr>
          <w:sz w:val="24"/>
          <w:szCs w:val="24"/>
        </w:rPr>
      </w:pPr>
      <w:r>
        <w:rPr>
          <w:rFonts w:hint="eastAsia"/>
          <w:sz w:val="24"/>
          <w:szCs w:val="24"/>
        </w:rPr>
        <w:t>（4）电梯安装使用维护说明书</w:t>
      </w:r>
    </w:p>
    <w:p>
      <w:pPr>
        <w:pStyle w:val="11"/>
        <w:spacing w:line="360" w:lineRule="auto"/>
        <w:ind w:firstLine="0" w:firstLineChars="0"/>
        <w:jc w:val="left"/>
        <w:rPr>
          <w:sz w:val="24"/>
          <w:szCs w:val="24"/>
        </w:rPr>
      </w:pPr>
      <w:r>
        <w:rPr>
          <w:rFonts w:hint="eastAsia"/>
          <w:sz w:val="24"/>
          <w:szCs w:val="24"/>
        </w:rPr>
        <w:t>（5）维保合同</w:t>
      </w:r>
    </w:p>
    <w:p>
      <w:pPr>
        <w:pStyle w:val="11"/>
        <w:spacing w:line="360" w:lineRule="auto"/>
        <w:ind w:firstLine="0" w:firstLineChars="0"/>
        <w:jc w:val="left"/>
        <w:rPr>
          <w:sz w:val="24"/>
          <w:szCs w:val="24"/>
        </w:rPr>
      </w:pPr>
      <w:r>
        <w:rPr>
          <w:rFonts w:hint="eastAsia"/>
          <w:sz w:val="24"/>
          <w:szCs w:val="24"/>
        </w:rPr>
        <w:t>2.5在河边水利电力学院地址使用的电梯要求维护保养驻点服务。</w:t>
      </w:r>
    </w:p>
    <w:p>
      <w:pPr>
        <w:pStyle w:val="11"/>
        <w:spacing w:line="360" w:lineRule="auto"/>
        <w:ind w:firstLine="0" w:firstLineChars="0"/>
        <w:jc w:val="left"/>
        <w:rPr>
          <w:sz w:val="24"/>
          <w:szCs w:val="24"/>
        </w:rPr>
      </w:pPr>
      <w:r>
        <w:rPr>
          <w:rFonts w:hint="eastAsia"/>
          <w:sz w:val="24"/>
          <w:szCs w:val="24"/>
        </w:rPr>
        <w:t>2.6驻点服务的人员数量按每30台不少于1人标准配备（但修理时须有2人及以上持证人员在场），并提供驻点人员的姓名、通信号码提供他们有效的特种设备作业人员资格证书复印件、身份证复印件（须加盖聘用单位印章）。</w:t>
      </w:r>
    </w:p>
    <w:p>
      <w:pPr>
        <w:pStyle w:val="11"/>
        <w:spacing w:line="360" w:lineRule="auto"/>
        <w:ind w:firstLine="0" w:firstLineChars="0"/>
        <w:jc w:val="left"/>
        <w:rPr>
          <w:sz w:val="24"/>
          <w:szCs w:val="24"/>
        </w:rPr>
      </w:pPr>
      <w:r>
        <w:rPr>
          <w:rFonts w:hint="eastAsia"/>
          <w:sz w:val="24"/>
          <w:szCs w:val="24"/>
        </w:rPr>
        <w:t>2.7须提供24小时的应急响应服务，且能在接到故障或事故报警后10分钟内到达现场，并能提供正常连续的服务直至故障或事故排除。对电梯困人事故要求在到达现场后10分钟内把乘客从轿厢中救出、对非电子板原因的常见故障要求在60分钟内排除，对电子板原因的故障应在普遍认可的合理时间内解决。</w:t>
      </w:r>
    </w:p>
    <w:p>
      <w:pPr>
        <w:pStyle w:val="11"/>
        <w:spacing w:line="360" w:lineRule="auto"/>
        <w:ind w:firstLine="0" w:firstLineChars="0"/>
        <w:jc w:val="left"/>
        <w:rPr>
          <w:sz w:val="24"/>
          <w:szCs w:val="24"/>
        </w:rPr>
      </w:pPr>
      <w:r>
        <w:rPr>
          <w:rFonts w:hint="eastAsia"/>
          <w:sz w:val="24"/>
          <w:szCs w:val="24"/>
        </w:rPr>
        <w:t>2.8对换下来的电子器件应由采购人保管或由采购人与维保单位共同销毁。</w:t>
      </w:r>
    </w:p>
    <w:p>
      <w:pPr>
        <w:pStyle w:val="11"/>
        <w:spacing w:line="360" w:lineRule="auto"/>
        <w:ind w:firstLine="0" w:firstLineChars="0"/>
        <w:jc w:val="left"/>
        <w:rPr>
          <w:sz w:val="24"/>
          <w:szCs w:val="24"/>
        </w:rPr>
      </w:pPr>
      <w:r>
        <w:rPr>
          <w:rFonts w:hint="eastAsia"/>
          <w:sz w:val="24"/>
          <w:szCs w:val="24"/>
        </w:rPr>
        <w:t>2.9在日常维护保养期届满时，须经法定定期检验并无因维护保养原因的不合格项目存在</w:t>
      </w:r>
    </w:p>
    <w:p>
      <w:pPr>
        <w:pStyle w:val="11"/>
        <w:spacing w:line="360" w:lineRule="auto"/>
        <w:ind w:firstLine="0" w:firstLineChars="0"/>
        <w:jc w:val="left"/>
        <w:rPr>
          <w:sz w:val="24"/>
          <w:szCs w:val="24"/>
        </w:rPr>
      </w:pPr>
      <w:r>
        <w:rPr>
          <w:rFonts w:hint="eastAsia"/>
          <w:sz w:val="24"/>
          <w:szCs w:val="24"/>
        </w:rPr>
        <w:t>2.1</w:t>
      </w:r>
      <w:r>
        <w:rPr>
          <w:rFonts w:hint="eastAsia"/>
          <w:sz w:val="24"/>
          <w:szCs w:val="24"/>
          <w:lang w:val="en-US" w:eastAsia="zh-CN"/>
        </w:rPr>
        <w:t>0</w:t>
      </w:r>
      <w:r>
        <w:rPr>
          <w:rFonts w:hint="eastAsia"/>
          <w:sz w:val="24"/>
          <w:szCs w:val="24"/>
        </w:rPr>
        <w:t>.如因使用不当造成电梯故障或损坏，谈判结果单位有责任负责及时将其修复或更换，使电梯恢复安全、正常运行，费用双方另行协商确定。</w:t>
      </w:r>
    </w:p>
    <w:p>
      <w:pPr>
        <w:pStyle w:val="11"/>
        <w:spacing w:line="360" w:lineRule="auto"/>
        <w:ind w:firstLine="0" w:firstLineChars="0"/>
        <w:jc w:val="left"/>
        <w:rPr>
          <w:rFonts w:hint="eastAsia"/>
          <w:sz w:val="24"/>
          <w:szCs w:val="24"/>
        </w:rPr>
      </w:pPr>
      <w:r>
        <w:rPr>
          <w:rFonts w:hint="eastAsia"/>
          <w:sz w:val="24"/>
          <w:szCs w:val="24"/>
        </w:rPr>
        <w:t>2.11</w:t>
      </w:r>
      <w:r>
        <w:rPr>
          <w:rFonts w:hint="eastAsia"/>
          <w:sz w:val="24"/>
          <w:szCs w:val="24"/>
          <w:lang w:val="en-US" w:eastAsia="zh-CN"/>
        </w:rPr>
        <w:t>该项目服务年限为1年，到期后经学校评估合格后，双方可续签一年。</w:t>
      </w:r>
    </w:p>
    <w:p>
      <w:pPr>
        <w:spacing w:line="480" w:lineRule="auto"/>
        <w:jc w:val="left"/>
        <w:rPr>
          <w:rFonts w:ascii="宋体" w:hAnsi="宋体" w:eastAsia="宋体" w:cs="宋体"/>
          <w:kern w:val="0"/>
          <w:sz w:val="24"/>
          <w:szCs w:val="24"/>
        </w:rPr>
      </w:pPr>
      <w:r>
        <w:rPr>
          <w:rFonts w:hint="eastAsia" w:asciiTheme="minorEastAsia" w:hAnsiTheme="minorEastAsia"/>
          <w:sz w:val="28"/>
          <w:szCs w:val="28"/>
        </w:rPr>
        <w:t xml:space="preserve">四、 </w:t>
      </w:r>
      <w:r>
        <w:rPr>
          <w:rFonts w:hint="eastAsia" w:asciiTheme="minorEastAsia" w:hAnsiTheme="minorEastAsia"/>
          <w:b/>
          <w:sz w:val="24"/>
          <w:szCs w:val="24"/>
        </w:rPr>
        <w:t>商务要求</w:t>
      </w:r>
    </w:p>
    <w:p>
      <w:pPr>
        <w:pStyle w:val="11"/>
        <w:spacing w:line="360" w:lineRule="auto"/>
        <w:ind w:firstLine="0" w:firstLineChars="0"/>
        <w:jc w:val="left"/>
        <w:rPr>
          <w:sz w:val="24"/>
          <w:szCs w:val="24"/>
        </w:rPr>
      </w:pPr>
      <w:r>
        <w:rPr>
          <w:sz w:val="24"/>
          <w:szCs w:val="24"/>
        </w:rPr>
        <w:t>1.投标人须符合《中华人民共和国政府采购法》第二十二条规定条件：</w:t>
      </w:r>
      <w:r>
        <w:rPr>
          <w:sz w:val="24"/>
          <w:szCs w:val="24"/>
        </w:rPr>
        <w:br w:type="textWrapping"/>
      </w:r>
      <w:r>
        <w:rPr>
          <w:sz w:val="24"/>
          <w:szCs w:val="24"/>
        </w:rPr>
        <w:t>（1）具有独立承担民事责任的能力；</w:t>
      </w:r>
    </w:p>
    <w:p>
      <w:pPr>
        <w:pStyle w:val="11"/>
        <w:spacing w:line="360" w:lineRule="auto"/>
        <w:ind w:firstLine="0" w:firstLineChars="0"/>
        <w:jc w:val="left"/>
        <w:rPr>
          <w:sz w:val="24"/>
          <w:szCs w:val="24"/>
        </w:rPr>
      </w:pPr>
      <w:r>
        <w:rPr>
          <w:rFonts w:hint="eastAsia"/>
          <w:sz w:val="24"/>
          <w:szCs w:val="24"/>
        </w:rPr>
        <w:t>（2）</w:t>
      </w:r>
      <w:r>
        <w:rPr>
          <w:sz w:val="24"/>
          <w:szCs w:val="24"/>
        </w:rPr>
        <w:t>具有履行合同所必需的设备和专业技术能力；</w:t>
      </w:r>
    </w:p>
    <w:p>
      <w:pPr>
        <w:pStyle w:val="11"/>
        <w:spacing w:line="360" w:lineRule="auto"/>
        <w:ind w:firstLine="0" w:firstLineChars="0"/>
        <w:jc w:val="left"/>
        <w:rPr>
          <w:sz w:val="24"/>
          <w:szCs w:val="24"/>
        </w:rPr>
      </w:pPr>
      <w:r>
        <w:rPr>
          <w:rFonts w:hint="eastAsia"/>
          <w:sz w:val="24"/>
          <w:szCs w:val="24"/>
        </w:rPr>
        <w:t>（3）</w:t>
      </w:r>
      <w:r>
        <w:rPr>
          <w:sz w:val="24"/>
          <w:szCs w:val="24"/>
        </w:rPr>
        <w:t>法律、行政法规规定的其他条件。</w:t>
      </w:r>
      <w:r>
        <w:rPr>
          <w:sz w:val="24"/>
          <w:szCs w:val="24"/>
        </w:rPr>
        <w:br w:type="textWrapping"/>
      </w:r>
      <w:r>
        <w:rPr>
          <w:sz w:val="24"/>
          <w:szCs w:val="24"/>
        </w:rPr>
        <w:t>2.投标人须符合本次招标的其他资格要求：</w:t>
      </w:r>
    </w:p>
    <w:p>
      <w:pPr>
        <w:pStyle w:val="11"/>
        <w:spacing w:line="360" w:lineRule="auto"/>
        <w:ind w:firstLine="0" w:firstLineChars="0"/>
        <w:jc w:val="left"/>
        <w:rPr>
          <w:sz w:val="24"/>
          <w:szCs w:val="24"/>
        </w:rPr>
      </w:pPr>
      <w:r>
        <w:rPr>
          <w:rFonts w:hint="eastAsia"/>
          <w:sz w:val="24"/>
          <w:szCs w:val="24"/>
        </w:rPr>
        <w:t>（1）</w:t>
      </w:r>
      <w:r>
        <w:rPr>
          <w:sz w:val="24"/>
          <w:szCs w:val="24"/>
        </w:rPr>
        <w:t>经营范围及拟投标服务符合本次招标要求，具有</w:t>
      </w:r>
      <w:r>
        <w:rPr>
          <w:rFonts w:hint="eastAsia"/>
          <w:sz w:val="24"/>
          <w:szCs w:val="24"/>
        </w:rPr>
        <w:t>完成该项目的能力</w:t>
      </w:r>
      <w:r>
        <w:rPr>
          <w:sz w:val="24"/>
          <w:szCs w:val="24"/>
        </w:rPr>
        <w:t>，且具有较强的服务能力</w:t>
      </w:r>
      <w:r>
        <w:rPr>
          <w:rFonts w:hint="eastAsia"/>
          <w:sz w:val="24"/>
          <w:szCs w:val="24"/>
        </w:rPr>
        <w:t>。</w:t>
      </w:r>
    </w:p>
    <w:p>
      <w:pPr>
        <w:pStyle w:val="11"/>
        <w:spacing w:line="360" w:lineRule="auto"/>
        <w:ind w:firstLine="0" w:firstLineChars="0"/>
        <w:jc w:val="left"/>
        <w:rPr>
          <w:sz w:val="24"/>
          <w:szCs w:val="24"/>
        </w:rPr>
      </w:pPr>
      <w:r>
        <w:rPr>
          <w:rFonts w:hint="eastAsia"/>
          <w:sz w:val="24"/>
          <w:szCs w:val="24"/>
        </w:rPr>
        <w:t>（2）</w:t>
      </w:r>
      <w:r>
        <w:rPr>
          <w:sz w:val="24"/>
          <w:szCs w:val="24"/>
        </w:rPr>
        <w:t>本项目不接受联合体投标。</w:t>
      </w:r>
    </w:p>
    <w:p>
      <w:pPr>
        <w:spacing w:line="480" w:lineRule="auto"/>
        <w:jc w:val="left"/>
        <w:rPr>
          <w:rFonts w:asciiTheme="minorEastAsia" w:hAnsiTheme="minorEastAsia"/>
          <w:b/>
          <w:sz w:val="24"/>
          <w:szCs w:val="24"/>
        </w:rPr>
      </w:pPr>
      <w:r>
        <w:rPr>
          <w:rFonts w:asciiTheme="minorEastAsia" w:hAnsiTheme="minorEastAsia"/>
          <w:sz w:val="28"/>
          <w:szCs w:val="28"/>
        </w:rPr>
        <w:t>五</w:t>
      </w:r>
      <w:r>
        <w:rPr>
          <w:rFonts w:hint="eastAsia" w:asciiTheme="minorEastAsia" w:hAnsiTheme="minorEastAsia"/>
          <w:sz w:val="28"/>
          <w:szCs w:val="28"/>
        </w:rPr>
        <w:t>、</w:t>
      </w:r>
      <w:r>
        <w:rPr>
          <w:rFonts w:hint="eastAsia" w:asciiTheme="minorEastAsia" w:hAnsiTheme="minorEastAsia"/>
          <w:b/>
          <w:sz w:val="24"/>
          <w:szCs w:val="24"/>
        </w:rPr>
        <w:t>开标要求：</w:t>
      </w:r>
    </w:p>
    <w:p>
      <w:pPr>
        <w:spacing w:line="480" w:lineRule="auto"/>
        <w:jc w:val="left"/>
        <w:rPr>
          <w:rFonts w:asciiTheme="minorEastAsia" w:hAnsiTheme="minorEastAsia"/>
          <w:sz w:val="24"/>
          <w:szCs w:val="24"/>
        </w:rPr>
      </w:pPr>
      <w:r>
        <w:rPr>
          <w:rFonts w:hint="eastAsia" w:asciiTheme="minorEastAsia" w:hAnsiTheme="minorEastAsia"/>
          <w:sz w:val="24"/>
          <w:szCs w:val="24"/>
        </w:rPr>
        <w:t>1、投标人在开标现场需提供营业执照原件或复印件加盖公章，法定代表人证明书及身份证件（原件及复印件加盖公章）或法定代表人授权委托书及被委托人的身份证件（原件及复印件加盖公章）</w:t>
      </w:r>
      <w:r>
        <w:rPr>
          <w:rFonts w:hint="eastAsia"/>
          <w:sz w:val="24"/>
          <w:szCs w:val="24"/>
        </w:rPr>
        <w:t>，</w:t>
      </w:r>
      <w:r>
        <w:rPr>
          <w:rFonts w:hint="eastAsia" w:asciiTheme="minorEastAsia" w:hAnsiTheme="minorEastAsia"/>
          <w:sz w:val="24"/>
          <w:szCs w:val="24"/>
        </w:rPr>
        <w:t>有效报价函（签字盖章），报价函需密封在档案袋中，现场提交。</w:t>
      </w:r>
    </w:p>
    <w:p>
      <w:pPr>
        <w:spacing w:line="480" w:lineRule="auto"/>
        <w:jc w:val="left"/>
        <w:rPr>
          <w:rFonts w:asciiTheme="minorEastAsia" w:hAnsiTheme="minorEastAsia"/>
          <w:b/>
          <w:sz w:val="24"/>
          <w:szCs w:val="24"/>
        </w:rPr>
      </w:pPr>
      <w:r>
        <w:rPr>
          <w:rFonts w:hint="eastAsia" w:asciiTheme="minorEastAsia" w:hAnsiTheme="minorEastAsia"/>
          <w:b/>
          <w:sz w:val="24"/>
          <w:szCs w:val="24"/>
        </w:rPr>
        <w:t>附法定代表人授权委托书格式要求</w:t>
      </w:r>
    </w:p>
    <w:p>
      <w:pPr>
        <w:spacing w:line="480" w:lineRule="auto"/>
        <w:jc w:val="left"/>
        <w:rPr>
          <w:rFonts w:asciiTheme="minorEastAsia" w:hAnsiTheme="minorEastAsia"/>
          <w:sz w:val="24"/>
          <w:szCs w:val="24"/>
        </w:rPr>
      </w:pPr>
    </w:p>
    <w:p>
      <w:pPr>
        <w:spacing w:line="480" w:lineRule="auto"/>
        <w:jc w:val="left"/>
        <w:rPr>
          <w:rFonts w:asciiTheme="minorEastAsia" w:hAnsiTheme="minorEastAsia"/>
          <w:b/>
          <w:sz w:val="24"/>
          <w:szCs w:val="24"/>
        </w:rPr>
      </w:pPr>
    </w:p>
    <w:p>
      <w:pPr>
        <w:spacing w:line="360" w:lineRule="auto"/>
        <w:jc w:val="center"/>
        <w:rPr>
          <w:rFonts w:ascii="宋体" w:hAnsi="宋体"/>
          <w:b/>
          <w:spacing w:val="8"/>
          <w:sz w:val="28"/>
          <w:szCs w:val="28"/>
        </w:rPr>
      </w:pPr>
      <w:r>
        <w:rPr>
          <w:rFonts w:hint="eastAsia" w:ascii="宋体" w:hAnsi="宋体"/>
          <w:b/>
          <w:spacing w:val="8"/>
          <w:sz w:val="28"/>
          <w:szCs w:val="28"/>
        </w:rPr>
        <w:t>法定代表人授权委托书</w:t>
      </w:r>
    </w:p>
    <w:p>
      <w:pPr>
        <w:spacing w:line="360" w:lineRule="auto"/>
        <w:jc w:val="left"/>
        <w:rPr>
          <w:rFonts w:ascii="宋体" w:hAnsi="宋体"/>
          <w:spacing w:val="8"/>
          <w:sz w:val="24"/>
          <w:szCs w:val="24"/>
        </w:rPr>
      </w:pPr>
    </w:p>
    <w:p>
      <w:pPr>
        <w:spacing w:line="360" w:lineRule="auto"/>
        <w:jc w:val="left"/>
        <w:rPr>
          <w:rFonts w:ascii="宋体" w:hAnsi="宋体"/>
          <w:spacing w:val="8"/>
          <w:sz w:val="24"/>
          <w:szCs w:val="24"/>
        </w:rPr>
      </w:pPr>
      <w:r>
        <w:rPr>
          <w:rFonts w:hint="eastAsia" w:ascii="宋体" w:hAnsi="宋体"/>
          <w:spacing w:val="8"/>
          <w:sz w:val="24"/>
          <w:szCs w:val="24"/>
          <w:u w:val="single"/>
        </w:rPr>
        <w:t>致                        （采购人）</w:t>
      </w:r>
      <w:r>
        <w:rPr>
          <w:rFonts w:hint="eastAsia" w:ascii="宋体" w:hAnsi="宋体"/>
          <w:spacing w:val="8"/>
          <w:sz w:val="24"/>
          <w:szCs w:val="24"/>
        </w:rPr>
        <w:t>：</w:t>
      </w:r>
    </w:p>
    <w:p>
      <w:pPr>
        <w:spacing w:line="360" w:lineRule="auto"/>
        <w:ind w:firstLine="512" w:firstLineChars="200"/>
        <w:jc w:val="left"/>
        <w:rPr>
          <w:rFonts w:ascii="宋体" w:hAnsi="宋体"/>
          <w:spacing w:val="8"/>
          <w:sz w:val="24"/>
        </w:rPr>
      </w:pPr>
      <w:r>
        <w:rPr>
          <w:rFonts w:hint="eastAsia" w:ascii="宋体" w:hAnsi="宋体"/>
          <w:spacing w:val="8"/>
          <w:sz w:val="24"/>
        </w:rPr>
        <w:t>本授权委托书声明：我</w:t>
      </w:r>
      <w:r>
        <w:rPr>
          <w:rFonts w:hint="eastAsia" w:ascii="宋体" w:hAnsi="宋体"/>
          <w:spacing w:val="8"/>
          <w:sz w:val="24"/>
          <w:u w:val="single"/>
        </w:rPr>
        <w:t xml:space="preserve">    (法定代表人姓名、职务)    </w:t>
      </w:r>
      <w:r>
        <w:rPr>
          <w:rFonts w:hint="eastAsia" w:ascii="宋体" w:hAnsi="宋体"/>
          <w:spacing w:val="8"/>
          <w:sz w:val="24"/>
        </w:rPr>
        <w:t>系</w:t>
      </w:r>
      <w:r>
        <w:rPr>
          <w:rFonts w:hint="eastAsia" w:ascii="宋体" w:hAnsi="宋体"/>
          <w:spacing w:val="8"/>
          <w:sz w:val="24"/>
          <w:u w:val="single"/>
        </w:rPr>
        <w:t xml:space="preserve">    (供应商名称)    </w:t>
      </w:r>
      <w:r>
        <w:rPr>
          <w:rFonts w:hint="eastAsia" w:ascii="宋体" w:hAnsi="宋体"/>
          <w:spacing w:val="8"/>
          <w:sz w:val="24"/>
        </w:rPr>
        <w:t>的法定代表人，现授权委托</w:t>
      </w:r>
      <w:r>
        <w:rPr>
          <w:rFonts w:hint="eastAsia" w:ascii="宋体" w:hAnsi="宋体"/>
          <w:spacing w:val="8"/>
          <w:sz w:val="24"/>
          <w:u w:val="single"/>
        </w:rPr>
        <w:t xml:space="preserve">   (供应商名称)   </w:t>
      </w:r>
      <w:r>
        <w:rPr>
          <w:rFonts w:hint="eastAsia" w:ascii="宋体" w:hAnsi="宋体"/>
          <w:spacing w:val="8"/>
          <w:sz w:val="24"/>
        </w:rPr>
        <w:t xml:space="preserve"> 的 </w:t>
      </w:r>
      <w:r>
        <w:rPr>
          <w:rFonts w:hint="eastAsia" w:ascii="宋体" w:hAnsi="宋体"/>
          <w:spacing w:val="8"/>
          <w:sz w:val="24"/>
          <w:u w:val="single"/>
        </w:rPr>
        <w:t xml:space="preserve">  (姓名)  </w:t>
      </w:r>
      <w:r>
        <w:rPr>
          <w:rFonts w:hint="eastAsia" w:ascii="宋体" w:hAnsi="宋体"/>
          <w:spacing w:val="8"/>
          <w:sz w:val="24"/>
        </w:rPr>
        <w:t xml:space="preserve">为我公司签署 </w:t>
      </w:r>
      <w:r>
        <w:rPr>
          <w:rFonts w:hint="eastAsia" w:ascii="宋体" w:hAnsi="宋体"/>
          <w:spacing w:val="8"/>
          <w:sz w:val="24"/>
          <w:u w:val="single"/>
        </w:rPr>
        <w:t xml:space="preserve">（项目名称）     </w:t>
      </w:r>
      <w:r>
        <w:rPr>
          <w:rFonts w:hint="eastAsia" w:ascii="宋体" w:hAnsi="宋体"/>
          <w:spacing w:val="8"/>
          <w:sz w:val="24"/>
        </w:rPr>
        <w:t>的响应文件的法定代表人授权代理人，我承认授权代理人全权代表我所签署的本项目的响应文件并办理一切与之相关的事宜。</w:t>
      </w:r>
    </w:p>
    <w:p>
      <w:pPr>
        <w:spacing w:line="360" w:lineRule="auto"/>
        <w:ind w:firstLine="512" w:firstLineChars="200"/>
        <w:jc w:val="left"/>
        <w:rPr>
          <w:rFonts w:ascii="宋体" w:hAnsi="宋体"/>
          <w:spacing w:val="8"/>
          <w:sz w:val="24"/>
        </w:rPr>
      </w:pPr>
      <w:r>
        <w:rPr>
          <w:rFonts w:hint="eastAsia" w:ascii="宋体" w:hAnsi="宋体"/>
          <w:spacing w:val="8"/>
          <w:sz w:val="24"/>
        </w:rPr>
        <w:t xml:space="preserve">    </w:t>
      </w:r>
    </w:p>
    <w:p>
      <w:pPr>
        <w:spacing w:line="360" w:lineRule="auto"/>
        <w:ind w:firstLine="512" w:firstLineChars="200"/>
        <w:jc w:val="left"/>
        <w:rPr>
          <w:rFonts w:ascii="宋体" w:hAnsi="宋体"/>
          <w:spacing w:val="8"/>
          <w:sz w:val="24"/>
        </w:rPr>
      </w:pPr>
      <w:r>
        <w:rPr>
          <w:rFonts w:hint="eastAsia" w:ascii="宋体" w:hAnsi="宋体"/>
          <w:spacing w:val="8"/>
          <w:sz w:val="24"/>
        </w:rPr>
        <w:t>授权代理人无转委托权，特此委托。</w:t>
      </w:r>
    </w:p>
    <w:p>
      <w:pPr>
        <w:spacing w:line="360" w:lineRule="auto"/>
        <w:jc w:val="left"/>
        <w:rPr>
          <w:rFonts w:ascii="宋体" w:hAnsi="宋体"/>
          <w:spacing w:val="8"/>
          <w:sz w:val="24"/>
        </w:rPr>
      </w:pPr>
    </w:p>
    <w:p>
      <w:pPr>
        <w:spacing w:line="360" w:lineRule="auto"/>
        <w:jc w:val="left"/>
        <w:rPr>
          <w:rFonts w:ascii="宋体" w:hAnsi="宋体"/>
          <w:spacing w:val="8"/>
          <w:sz w:val="24"/>
        </w:rPr>
      </w:pPr>
      <w:r>
        <w:pict>
          <v:shape id="文本框 1" o:spid="_x0000_s1026" o:spt="202" type="#_x0000_t202" style="position:absolute;left:0pt;margin-left:85.65pt;margin-top:15.2pt;height:141pt;width:273pt;z-index:25166028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">
            <v:path/>
            <v:fill focussize="0,0"/>
            <v:stroke joinstyle="miter"/>
            <v:imagedata o:title=""/>
            <o:lock v:ext="edit"/>
            <v:textbox>
              <w:txbxContent>
                <w:p>
                  <w:pPr>
                    <w:jc w:val="center"/>
                    <w:rPr>
                      <w:rFonts w:ascii="仿宋_GB2312" w:eastAsia="仿宋_GB2312"/>
                      <w:sz w:val="24"/>
                    </w:rPr>
                  </w:pPr>
                </w:p>
                <w:p>
                  <w:pPr>
                    <w:jc w:val="center"/>
                    <w:rPr>
                      <w:rFonts w:ascii="仿宋_GB2312" w:eastAsia="仿宋_GB2312"/>
                      <w:sz w:val="24"/>
                    </w:rPr>
                  </w:pPr>
                </w:p>
                <w:p>
                  <w:pPr>
                    <w:jc w:val="center"/>
                    <w:rPr>
                      <w:rFonts w:ascii="仿宋_GB2312" w:eastAsia="仿宋_GB2312"/>
                      <w:sz w:val="24"/>
                    </w:rPr>
                  </w:pPr>
                </w:p>
                <w:p>
                  <w:pPr>
                    <w:jc w:val="center"/>
                    <w:rPr>
                      <w:rFonts w:ascii="仿宋_GB2312" w:eastAsia="仿宋_GB2312"/>
                      <w:sz w:val="24"/>
                    </w:rPr>
                  </w:pPr>
                </w:p>
                <w:p>
                  <w:pPr>
                    <w:ind w:firstLine="1080" w:firstLineChars="450"/>
                    <w:rPr>
                      <w:rFonts w:ascii="仿宋_GB2312" w:eastAsia="仿宋_GB2312"/>
                      <w:sz w:val="24"/>
                    </w:rPr>
                  </w:pPr>
                  <w:r>
                    <w:rPr>
                      <w:rFonts w:hint="eastAsia" w:ascii="仿宋_GB2312" w:eastAsia="仿宋_GB2312"/>
                      <w:sz w:val="24"/>
                    </w:rPr>
                    <w:t>此处附身份证复印件正反面</w:t>
                  </w:r>
                </w:p>
                <w:p>
                  <w:pPr>
                    <w:jc w:val="center"/>
                  </w:pPr>
                  <w:r>
                    <w:rPr>
                      <w:rFonts w:hint="eastAsia" w:ascii="仿宋_GB2312" w:eastAsia="仿宋_GB2312"/>
                      <w:sz w:val="24"/>
                    </w:rPr>
                    <w:t>并由委托代理人签字</w:t>
                  </w:r>
                </w:p>
              </w:txbxContent>
            </v:textbox>
          </v:shape>
        </w:pict>
      </w:r>
    </w:p>
    <w:p>
      <w:pPr>
        <w:spacing w:line="360" w:lineRule="auto"/>
        <w:jc w:val="left"/>
        <w:rPr>
          <w:rFonts w:ascii="宋体" w:hAnsi="宋体"/>
          <w:spacing w:val="8"/>
          <w:sz w:val="24"/>
        </w:rPr>
      </w:pPr>
    </w:p>
    <w:p>
      <w:pPr>
        <w:spacing w:line="360" w:lineRule="auto"/>
        <w:jc w:val="left"/>
        <w:rPr>
          <w:rFonts w:ascii="宋体" w:hAnsi="宋体"/>
          <w:spacing w:val="8"/>
          <w:sz w:val="24"/>
        </w:rPr>
      </w:pPr>
    </w:p>
    <w:p>
      <w:pPr>
        <w:spacing w:line="360" w:lineRule="auto"/>
        <w:jc w:val="left"/>
        <w:rPr>
          <w:rFonts w:ascii="宋体" w:hAnsi="宋体"/>
          <w:spacing w:val="8"/>
          <w:sz w:val="24"/>
        </w:rPr>
      </w:pPr>
    </w:p>
    <w:p>
      <w:pPr>
        <w:spacing w:line="360" w:lineRule="auto"/>
        <w:jc w:val="left"/>
        <w:rPr>
          <w:rFonts w:ascii="宋体" w:hAnsi="宋体"/>
          <w:spacing w:val="8"/>
          <w:sz w:val="24"/>
        </w:rPr>
      </w:pPr>
    </w:p>
    <w:p>
      <w:pPr>
        <w:spacing w:line="360" w:lineRule="auto"/>
        <w:jc w:val="left"/>
        <w:rPr>
          <w:rFonts w:ascii="宋体" w:hAnsi="宋体"/>
          <w:spacing w:val="8"/>
          <w:sz w:val="24"/>
        </w:rPr>
      </w:pPr>
    </w:p>
    <w:p>
      <w:pPr>
        <w:spacing w:line="360" w:lineRule="auto"/>
        <w:jc w:val="left"/>
        <w:rPr>
          <w:rFonts w:ascii="宋体" w:hAnsi="宋体"/>
          <w:spacing w:val="8"/>
          <w:sz w:val="24"/>
        </w:rPr>
      </w:pPr>
    </w:p>
    <w:p>
      <w:pPr>
        <w:spacing w:line="360" w:lineRule="auto"/>
        <w:jc w:val="left"/>
        <w:rPr>
          <w:rFonts w:ascii="宋体" w:hAnsi="宋体"/>
          <w:spacing w:val="8"/>
          <w:sz w:val="24"/>
        </w:rPr>
      </w:pPr>
    </w:p>
    <w:p>
      <w:pPr>
        <w:spacing w:line="360" w:lineRule="auto"/>
        <w:jc w:val="left"/>
        <w:rPr>
          <w:rFonts w:ascii="宋体" w:hAnsi="宋体"/>
          <w:spacing w:val="8"/>
          <w:sz w:val="24"/>
          <w:u w:val="single"/>
        </w:rPr>
      </w:pPr>
      <w:r>
        <w:rPr>
          <w:rFonts w:hint="eastAsia" w:ascii="宋体" w:hAnsi="宋体"/>
          <w:spacing w:val="8"/>
          <w:sz w:val="24"/>
        </w:rPr>
        <w:t>授权代理人：</w:t>
      </w:r>
      <w:r>
        <w:rPr>
          <w:rFonts w:hint="eastAsia" w:ascii="宋体" w:hAnsi="宋体"/>
          <w:spacing w:val="8"/>
          <w:sz w:val="24"/>
          <w:u w:val="single"/>
        </w:rPr>
        <w:t xml:space="preserve">    (签字)   </w:t>
      </w:r>
      <w:r>
        <w:rPr>
          <w:rFonts w:hint="eastAsia" w:ascii="宋体" w:hAnsi="宋体"/>
          <w:spacing w:val="8"/>
          <w:sz w:val="24"/>
        </w:rPr>
        <w:t xml:space="preserve"> 性别：</w:t>
      </w:r>
      <w:r>
        <w:rPr>
          <w:rFonts w:hint="eastAsia" w:ascii="宋体" w:hAnsi="宋体"/>
          <w:spacing w:val="8"/>
          <w:sz w:val="24"/>
          <w:u w:val="single"/>
        </w:rPr>
        <w:t xml:space="preserve">        </w:t>
      </w:r>
      <w:r>
        <w:rPr>
          <w:rFonts w:hint="eastAsia" w:ascii="宋体" w:hAnsi="宋体"/>
          <w:spacing w:val="8"/>
          <w:sz w:val="24"/>
        </w:rPr>
        <w:t>年龄：</w:t>
      </w:r>
      <w:r>
        <w:rPr>
          <w:rFonts w:hint="eastAsia" w:ascii="宋体" w:hAnsi="宋体"/>
          <w:spacing w:val="8"/>
          <w:sz w:val="24"/>
          <w:u w:val="single"/>
        </w:rPr>
        <w:t xml:space="preserve">       </w:t>
      </w:r>
    </w:p>
    <w:p>
      <w:pPr>
        <w:spacing w:line="360" w:lineRule="auto"/>
        <w:jc w:val="left"/>
        <w:rPr>
          <w:rFonts w:ascii="宋体" w:hAnsi="宋体"/>
          <w:spacing w:val="8"/>
          <w:sz w:val="24"/>
        </w:rPr>
      </w:pPr>
      <w:r>
        <w:rPr>
          <w:rFonts w:hint="eastAsia" w:ascii="宋体" w:hAnsi="宋体"/>
          <w:spacing w:val="8"/>
          <w:sz w:val="24"/>
        </w:rPr>
        <w:t>身份证号码：</w:t>
      </w:r>
      <w:r>
        <w:rPr>
          <w:rFonts w:hint="eastAsia" w:ascii="宋体" w:hAnsi="宋体"/>
          <w:spacing w:val="8"/>
          <w:sz w:val="24"/>
          <w:u w:val="single"/>
        </w:rPr>
        <w:t xml:space="preserve">               </w:t>
      </w:r>
      <w:r>
        <w:rPr>
          <w:rFonts w:hint="eastAsia" w:ascii="宋体" w:hAnsi="宋体"/>
          <w:spacing w:val="8"/>
          <w:sz w:val="24"/>
        </w:rPr>
        <w:t xml:space="preserve"> 职务：</w:t>
      </w:r>
      <w:r>
        <w:rPr>
          <w:rFonts w:hint="eastAsia" w:ascii="宋体" w:hAnsi="宋体"/>
          <w:spacing w:val="8"/>
          <w:sz w:val="24"/>
          <w:u w:val="single"/>
        </w:rPr>
        <w:t xml:space="preserve">                   </w:t>
      </w:r>
    </w:p>
    <w:p>
      <w:pPr>
        <w:spacing w:line="360" w:lineRule="auto"/>
        <w:jc w:val="left"/>
        <w:rPr>
          <w:rFonts w:ascii="宋体" w:hAnsi="宋体"/>
          <w:spacing w:val="8"/>
          <w:sz w:val="24"/>
          <w:u w:val="single"/>
        </w:rPr>
      </w:pPr>
      <w:r>
        <w:rPr>
          <w:rFonts w:hint="eastAsia" w:ascii="宋体" w:hAnsi="宋体"/>
          <w:spacing w:val="8"/>
          <w:sz w:val="24"/>
        </w:rPr>
        <w:t>供应商：</w:t>
      </w:r>
      <w:r>
        <w:rPr>
          <w:rFonts w:hint="eastAsia" w:ascii="宋体" w:hAnsi="宋体"/>
          <w:spacing w:val="8"/>
          <w:sz w:val="24"/>
          <w:u w:val="single"/>
        </w:rPr>
        <w:t xml:space="preserve">                 （全称）          (盖章)    </w:t>
      </w:r>
    </w:p>
    <w:p>
      <w:pPr>
        <w:spacing w:line="360" w:lineRule="auto"/>
        <w:jc w:val="left"/>
        <w:rPr>
          <w:rFonts w:ascii="宋体" w:hAnsi="宋体"/>
          <w:spacing w:val="8"/>
          <w:sz w:val="24"/>
        </w:rPr>
      </w:pPr>
      <w:r>
        <w:rPr>
          <w:rFonts w:hint="eastAsia" w:ascii="宋体" w:hAnsi="宋体"/>
          <w:spacing w:val="8"/>
          <w:sz w:val="24"/>
        </w:rPr>
        <w:t>法定代表人：</w:t>
      </w:r>
      <w:r>
        <w:rPr>
          <w:rFonts w:hint="eastAsia" w:ascii="宋体" w:hAnsi="宋体"/>
          <w:spacing w:val="8"/>
          <w:sz w:val="24"/>
          <w:u w:val="single"/>
        </w:rPr>
        <w:t xml:space="preserve">                            (签字盖章)   </w:t>
      </w:r>
    </w:p>
    <w:p>
      <w:pPr>
        <w:spacing w:line="360" w:lineRule="auto"/>
        <w:jc w:val="left"/>
        <w:rPr>
          <w:rFonts w:ascii="宋体" w:hAnsi="宋体"/>
          <w:spacing w:val="8"/>
          <w:sz w:val="24"/>
        </w:rPr>
      </w:pPr>
      <w:r>
        <w:rPr>
          <w:rFonts w:hint="eastAsia" w:ascii="宋体" w:hAnsi="宋体"/>
          <w:spacing w:val="8"/>
          <w:sz w:val="24"/>
        </w:rPr>
        <w:t>授权委托日期：</w:t>
      </w:r>
      <w:r>
        <w:rPr>
          <w:rFonts w:hint="eastAsia" w:ascii="宋体" w:hAnsi="宋体"/>
          <w:spacing w:val="8"/>
          <w:sz w:val="24"/>
          <w:u w:val="single"/>
        </w:rPr>
        <w:t xml:space="preserve">        </w:t>
      </w:r>
      <w:r>
        <w:rPr>
          <w:rFonts w:hint="eastAsia" w:ascii="宋体" w:hAnsi="宋体"/>
          <w:spacing w:val="8"/>
          <w:sz w:val="24"/>
        </w:rPr>
        <w:t>年</w:t>
      </w:r>
      <w:r>
        <w:rPr>
          <w:rFonts w:hint="eastAsia" w:ascii="宋体" w:hAnsi="宋体"/>
          <w:spacing w:val="8"/>
          <w:sz w:val="24"/>
          <w:u w:val="single"/>
        </w:rPr>
        <w:t xml:space="preserve">       </w:t>
      </w:r>
      <w:r>
        <w:rPr>
          <w:rFonts w:hint="eastAsia" w:ascii="宋体" w:hAnsi="宋体"/>
          <w:spacing w:val="8"/>
          <w:sz w:val="24"/>
        </w:rPr>
        <w:t>月</w:t>
      </w:r>
      <w:r>
        <w:rPr>
          <w:rFonts w:hint="eastAsia" w:ascii="宋体" w:hAnsi="宋体"/>
          <w:spacing w:val="8"/>
          <w:sz w:val="24"/>
          <w:u w:val="single"/>
        </w:rPr>
        <w:t xml:space="preserve">       </w:t>
      </w:r>
      <w:r>
        <w:rPr>
          <w:rFonts w:hint="eastAsia" w:ascii="宋体" w:hAnsi="宋体"/>
          <w:spacing w:val="8"/>
          <w:sz w:val="24"/>
        </w:rPr>
        <w:t>日</w:t>
      </w:r>
    </w:p>
    <w:p>
      <w:pPr>
        <w:pStyle w:val="11"/>
        <w:spacing w:line="360" w:lineRule="auto"/>
        <w:ind w:firstLine="0" w:firstLineChars="0"/>
        <w:jc w:val="left"/>
        <w:rPr>
          <w:sz w:val="24"/>
          <w:szCs w:val="24"/>
        </w:rPr>
      </w:pPr>
    </w:p>
    <w:p>
      <w:pPr>
        <w:pStyle w:val="11"/>
        <w:spacing w:line="360" w:lineRule="auto"/>
        <w:ind w:firstLine="0" w:firstLineChars="0"/>
        <w:jc w:val="left"/>
        <w:rPr>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3A14EF"/>
    <w:multiLevelType w:val="multilevel"/>
    <w:tmpl w:val="363A14EF"/>
    <w:lvl w:ilvl="0" w:tentative="0">
      <w:start w:val="1"/>
      <w:numFmt w:val="japaneseCounting"/>
      <w:lvlText w:val="%1、"/>
      <w:lvlJc w:val="left"/>
      <w:pPr>
        <w:ind w:left="720" w:hanging="720"/>
      </w:pPr>
      <w:rPr>
        <w:rFonts w:asciiTheme="minorEastAsia" w:hAnsiTheme="minorEastAsia" w:eastAsiaTheme="minorEastAsia" w:cstheme="minorBidi"/>
        <w:sz w:val="28"/>
        <w:szCs w:val="28"/>
        <w:u w:val="none"/>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66D98"/>
    <w:rsid w:val="0003683B"/>
    <w:rsid w:val="0005754D"/>
    <w:rsid w:val="00086741"/>
    <w:rsid w:val="000C5C00"/>
    <w:rsid w:val="001024C9"/>
    <w:rsid w:val="0012035A"/>
    <w:rsid w:val="00147B32"/>
    <w:rsid w:val="001C1278"/>
    <w:rsid w:val="002364C3"/>
    <w:rsid w:val="002571B1"/>
    <w:rsid w:val="00281093"/>
    <w:rsid w:val="00291EB9"/>
    <w:rsid w:val="002926CB"/>
    <w:rsid w:val="0030371D"/>
    <w:rsid w:val="00336C8F"/>
    <w:rsid w:val="00353336"/>
    <w:rsid w:val="004118B2"/>
    <w:rsid w:val="00466D98"/>
    <w:rsid w:val="004E351B"/>
    <w:rsid w:val="004E4D5F"/>
    <w:rsid w:val="00501E58"/>
    <w:rsid w:val="00506858"/>
    <w:rsid w:val="00510E71"/>
    <w:rsid w:val="00535503"/>
    <w:rsid w:val="00551156"/>
    <w:rsid w:val="0057490C"/>
    <w:rsid w:val="005D1643"/>
    <w:rsid w:val="005F5A93"/>
    <w:rsid w:val="00676BFA"/>
    <w:rsid w:val="006855FD"/>
    <w:rsid w:val="006A5C8B"/>
    <w:rsid w:val="006A6636"/>
    <w:rsid w:val="006E223B"/>
    <w:rsid w:val="006E7D1E"/>
    <w:rsid w:val="00742B4A"/>
    <w:rsid w:val="00776509"/>
    <w:rsid w:val="007A3A6A"/>
    <w:rsid w:val="007E2513"/>
    <w:rsid w:val="008043CF"/>
    <w:rsid w:val="008263BD"/>
    <w:rsid w:val="0086157E"/>
    <w:rsid w:val="008847DA"/>
    <w:rsid w:val="00893254"/>
    <w:rsid w:val="008A1839"/>
    <w:rsid w:val="008A2B3D"/>
    <w:rsid w:val="008B7BAF"/>
    <w:rsid w:val="008C2B7C"/>
    <w:rsid w:val="008F2789"/>
    <w:rsid w:val="008F7179"/>
    <w:rsid w:val="0090184D"/>
    <w:rsid w:val="009248AF"/>
    <w:rsid w:val="00951F23"/>
    <w:rsid w:val="00995704"/>
    <w:rsid w:val="009B0E72"/>
    <w:rsid w:val="009B6766"/>
    <w:rsid w:val="009C7BEE"/>
    <w:rsid w:val="00A015F7"/>
    <w:rsid w:val="00A1617B"/>
    <w:rsid w:val="00A225C1"/>
    <w:rsid w:val="00A53B20"/>
    <w:rsid w:val="00AB1BDC"/>
    <w:rsid w:val="00AD2811"/>
    <w:rsid w:val="00B108BE"/>
    <w:rsid w:val="00BB49CB"/>
    <w:rsid w:val="00BF4D4A"/>
    <w:rsid w:val="00C12ACD"/>
    <w:rsid w:val="00C468E4"/>
    <w:rsid w:val="00C658E8"/>
    <w:rsid w:val="00D1103A"/>
    <w:rsid w:val="00D118CE"/>
    <w:rsid w:val="00D1613B"/>
    <w:rsid w:val="00DF757F"/>
    <w:rsid w:val="00E26658"/>
    <w:rsid w:val="00E6796F"/>
    <w:rsid w:val="00E95CB3"/>
    <w:rsid w:val="00EA3877"/>
    <w:rsid w:val="00EA4D52"/>
    <w:rsid w:val="00EB6B75"/>
    <w:rsid w:val="00EF6F7C"/>
    <w:rsid w:val="00F32CC9"/>
    <w:rsid w:val="00F4289B"/>
    <w:rsid w:val="00F9015B"/>
    <w:rsid w:val="00F96874"/>
    <w:rsid w:val="00FD2079"/>
    <w:rsid w:val="00FD7204"/>
    <w:rsid w:val="00FE4D08"/>
    <w:rsid w:val="00FF4A36"/>
    <w:rsid w:val="789F630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12"/>
    <w:semiHidden/>
    <w:unhideWhenUsed/>
    <w:uiPriority w:val="99"/>
    <w:rPr>
      <w:sz w:val="18"/>
      <w:szCs w:val="18"/>
    </w:rPr>
  </w:style>
  <w:style w:type="paragraph" w:styleId="3">
    <w:name w:val="footer"/>
    <w:basedOn w:val="1"/>
    <w:link w:val="10"/>
    <w:unhideWhenUsed/>
    <w:uiPriority w:val="99"/>
    <w:pPr>
      <w:tabs>
        <w:tab w:val="center" w:pos="4153"/>
        <w:tab w:val="right" w:pos="8306"/>
      </w:tabs>
      <w:snapToGrid w:val="0"/>
      <w:jc w:val="left"/>
    </w:pPr>
    <w:rPr>
      <w:sz w:val="18"/>
      <w:szCs w:val="18"/>
    </w:rPr>
  </w:style>
  <w:style w:type="paragraph" w:styleId="4">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customStyle="1" w:styleId="9">
    <w:name w:val="页眉 Char"/>
    <w:basedOn w:val="8"/>
    <w:link w:val="4"/>
    <w:uiPriority w:val="99"/>
    <w:rPr>
      <w:sz w:val="18"/>
      <w:szCs w:val="18"/>
    </w:rPr>
  </w:style>
  <w:style w:type="character" w:customStyle="1" w:styleId="10">
    <w:name w:val="页脚 Char"/>
    <w:basedOn w:val="8"/>
    <w:link w:val="3"/>
    <w:uiPriority w:val="99"/>
    <w:rPr>
      <w:sz w:val="18"/>
      <w:szCs w:val="18"/>
    </w:rPr>
  </w:style>
  <w:style w:type="paragraph" w:styleId="11">
    <w:name w:val="List Paragraph"/>
    <w:basedOn w:val="1"/>
    <w:qFormat/>
    <w:uiPriority w:val="34"/>
    <w:pPr>
      <w:ind w:firstLine="420" w:firstLineChars="200"/>
    </w:pPr>
  </w:style>
  <w:style w:type="character" w:customStyle="1" w:styleId="12">
    <w:name w:val="批注框文本 Char"/>
    <w:basedOn w:val="8"/>
    <w:link w:val="2"/>
    <w:semiHidden/>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495DD54-618C-48B4-9993-E6B6B5E2161A}">
  <ds:schemaRefs/>
</ds:datastoreItem>
</file>

<file path=docProps/app.xml><?xml version="1.0" encoding="utf-8"?>
<Properties xmlns="http://schemas.openxmlformats.org/officeDocument/2006/extended-properties" xmlns:vt="http://schemas.openxmlformats.org/officeDocument/2006/docPropsVTypes">
  <Template>Normal</Template>
  <Pages>3</Pages>
  <Words>367</Words>
  <Characters>2096</Characters>
  <Lines>17</Lines>
  <Paragraphs>4</Paragraphs>
  <TotalTime>2</TotalTime>
  <ScaleCrop>false</ScaleCrop>
  <LinksUpToDate>false</LinksUpToDate>
  <CharactersWithSpaces>2459</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2019-07-23T08:14:00Z</dcterms:created>
  <dc:creator>aaa</dc:creator>
  <cp:lastModifiedBy>大鹏</cp:lastModifiedBy>
  <cp:lastPrinted>2019-07-30T08:11:00Z</cp:lastPrinted>
  <dcterms:modified xsi:type="dcterms:W3CDTF">2021-05-27T12:07:48Z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